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F13" w:rsidRPr="00C03360" w:rsidRDefault="00F07F13" w:rsidP="00F07F13">
      <w:pPr>
        <w:tabs>
          <w:tab w:val="left" w:pos="2694"/>
        </w:tabs>
        <w:spacing w:after="0" w:line="240" w:lineRule="auto"/>
        <w:ind w:left="2694" w:right="1699" w:hanging="1276"/>
        <w:jc w:val="both"/>
        <w:rPr>
          <w:rFonts w:ascii="Tahoma" w:hAnsi="Tahoma" w:cs="Tahoma"/>
          <w:i/>
          <w:sz w:val="20"/>
          <w:szCs w:val="20"/>
        </w:rPr>
      </w:pPr>
      <w:r w:rsidRPr="00C03360">
        <w:rPr>
          <w:rFonts w:ascii="Tahoma" w:hAnsi="Tahoma" w:cs="Tahoma"/>
          <w:b/>
          <w:i/>
          <w:sz w:val="20"/>
          <w:szCs w:val="20"/>
        </w:rPr>
        <w:t>Sumilla:</w:t>
      </w:r>
      <w:r w:rsidRPr="00C03360">
        <w:rPr>
          <w:rFonts w:ascii="Tahoma" w:hAnsi="Tahoma" w:cs="Tahoma"/>
          <w:i/>
          <w:sz w:val="20"/>
          <w:szCs w:val="20"/>
        </w:rPr>
        <w:t xml:space="preserve"> </w:t>
      </w:r>
      <w:r w:rsidRPr="00C03360">
        <w:rPr>
          <w:rFonts w:ascii="Tahoma" w:hAnsi="Tahoma" w:cs="Tahoma"/>
          <w:i/>
          <w:sz w:val="20"/>
          <w:szCs w:val="20"/>
        </w:rPr>
        <w:tab/>
      </w:r>
      <w:r>
        <w:rPr>
          <w:rFonts w:ascii="Tahoma" w:hAnsi="Tahoma" w:cs="Tahoma"/>
          <w:i/>
          <w:sz w:val="20"/>
          <w:szCs w:val="20"/>
        </w:rPr>
        <w:t>“La garantía que se presenta con motivo de la interposición del recurso de apelación debe mantenerse vigente hasta que se agote la vía administrativa”.</w:t>
      </w:r>
    </w:p>
    <w:p w:rsidR="00F07F13" w:rsidRDefault="00F07F13" w:rsidP="00F07F13">
      <w:pPr>
        <w:pStyle w:val="Textoindependiente3"/>
        <w:spacing w:after="0"/>
        <w:ind w:left="4248" w:right="179" w:firstLine="708"/>
        <w:rPr>
          <w:rFonts w:ascii="Tahoma" w:hAnsi="Tahoma" w:cs="Tahoma"/>
          <w:b/>
          <w:sz w:val="20"/>
          <w:szCs w:val="20"/>
        </w:rPr>
      </w:pPr>
    </w:p>
    <w:p w:rsidR="00F07F13" w:rsidRDefault="00F07F13" w:rsidP="00F07F13">
      <w:pPr>
        <w:pStyle w:val="Textoindependiente3"/>
        <w:spacing w:after="0"/>
        <w:ind w:left="4248" w:right="179" w:firstLine="708"/>
        <w:rPr>
          <w:rFonts w:ascii="Tahoma" w:hAnsi="Tahoma" w:cs="Tahoma"/>
          <w:b/>
          <w:sz w:val="20"/>
          <w:szCs w:val="20"/>
        </w:rPr>
      </w:pPr>
    </w:p>
    <w:p w:rsidR="00F07F13" w:rsidRPr="00C03360" w:rsidRDefault="00F07F13" w:rsidP="00F07F13">
      <w:pPr>
        <w:pStyle w:val="Textoindependiente3"/>
        <w:spacing w:after="0"/>
        <w:ind w:left="4248" w:right="179" w:firstLine="708"/>
        <w:rPr>
          <w:rFonts w:ascii="Tahoma" w:hAnsi="Tahoma" w:cs="Tahoma"/>
          <w:sz w:val="20"/>
          <w:szCs w:val="20"/>
        </w:rPr>
      </w:pPr>
      <w:r w:rsidRPr="00C03360">
        <w:rPr>
          <w:rFonts w:ascii="Tahoma" w:hAnsi="Tahoma" w:cs="Tahoma"/>
          <w:b/>
          <w:sz w:val="20"/>
          <w:szCs w:val="20"/>
        </w:rPr>
        <w:t>Lima</w:t>
      </w:r>
      <w:r w:rsidRPr="00C03360">
        <w:rPr>
          <w:rFonts w:ascii="Tahoma" w:hAnsi="Tahoma" w:cs="Tahoma"/>
          <w:sz w:val="20"/>
          <w:szCs w:val="20"/>
        </w:rPr>
        <w:t xml:space="preserve">, </w:t>
      </w:r>
      <w:r w:rsidR="00893800">
        <w:rPr>
          <w:rFonts w:ascii="Tahoma" w:hAnsi="Tahoma" w:cs="Tahoma"/>
          <w:sz w:val="20"/>
          <w:szCs w:val="20"/>
        </w:rPr>
        <w:t>02 de Abril del 2012.</w:t>
      </w:r>
    </w:p>
    <w:p w:rsidR="00F07F13" w:rsidRDefault="00F07F13" w:rsidP="00F07F13">
      <w:pPr>
        <w:spacing w:after="0" w:line="240" w:lineRule="auto"/>
        <w:jc w:val="both"/>
        <w:rPr>
          <w:rFonts w:ascii="Tahoma" w:hAnsi="Tahoma" w:cs="Tahoma"/>
          <w:b/>
          <w:sz w:val="20"/>
          <w:szCs w:val="20"/>
        </w:rPr>
      </w:pPr>
    </w:p>
    <w:p w:rsidR="00F07F13" w:rsidRDefault="00F07F13" w:rsidP="00F07F13">
      <w:pPr>
        <w:spacing w:after="0" w:line="240" w:lineRule="auto"/>
        <w:jc w:val="both"/>
        <w:rPr>
          <w:rFonts w:ascii="Tahoma" w:hAnsi="Tahoma" w:cs="Tahoma"/>
          <w:b/>
          <w:sz w:val="20"/>
          <w:szCs w:val="20"/>
        </w:rPr>
      </w:pPr>
    </w:p>
    <w:p w:rsidR="00F07F13" w:rsidRPr="00864CDE" w:rsidRDefault="00F07F13" w:rsidP="00F07F13">
      <w:pPr>
        <w:spacing w:after="0" w:line="240" w:lineRule="auto"/>
        <w:jc w:val="both"/>
        <w:rPr>
          <w:rFonts w:ascii="Tahoma" w:hAnsi="Tahoma" w:cs="Tahoma"/>
          <w:b/>
          <w:sz w:val="20"/>
          <w:lang w:val="es-PE"/>
        </w:rPr>
      </w:pPr>
      <w:r w:rsidRPr="00C03360">
        <w:rPr>
          <w:rFonts w:ascii="Tahoma" w:hAnsi="Tahoma" w:cs="Tahoma"/>
          <w:b/>
          <w:sz w:val="20"/>
          <w:szCs w:val="20"/>
        </w:rPr>
        <w:t>VISTO</w:t>
      </w:r>
      <w:r>
        <w:rPr>
          <w:rFonts w:ascii="Tahoma" w:hAnsi="Tahoma" w:cs="Tahoma"/>
          <w:sz w:val="20"/>
          <w:szCs w:val="20"/>
        </w:rPr>
        <w:t xml:space="preserve"> en sesión de fecha 02 de abril de 2012 de la Segunda </w:t>
      </w:r>
      <w:r w:rsidRPr="00C03360">
        <w:rPr>
          <w:rFonts w:ascii="Tahoma" w:hAnsi="Tahoma" w:cs="Tahoma"/>
          <w:sz w:val="20"/>
          <w:szCs w:val="20"/>
        </w:rPr>
        <w:t>Sala del Tribun</w:t>
      </w:r>
      <w:r>
        <w:rPr>
          <w:rFonts w:ascii="Tahoma" w:hAnsi="Tahoma" w:cs="Tahoma"/>
          <w:sz w:val="20"/>
          <w:szCs w:val="20"/>
        </w:rPr>
        <w:t xml:space="preserve">al de Contrataciones del Estado </w:t>
      </w:r>
      <w:r w:rsidRPr="00C03360">
        <w:rPr>
          <w:rFonts w:ascii="Tahoma" w:hAnsi="Tahoma" w:cs="Tahoma"/>
          <w:sz w:val="20"/>
          <w:szCs w:val="20"/>
        </w:rPr>
        <w:t>el Exped</w:t>
      </w:r>
      <w:r w:rsidR="00961680">
        <w:rPr>
          <w:rFonts w:ascii="Tahoma" w:hAnsi="Tahoma" w:cs="Tahoma"/>
          <w:sz w:val="20"/>
          <w:szCs w:val="20"/>
        </w:rPr>
        <w:t>iente № 295</w:t>
      </w:r>
      <w:r>
        <w:rPr>
          <w:rFonts w:ascii="Tahoma" w:hAnsi="Tahoma" w:cs="Tahoma"/>
          <w:sz w:val="20"/>
          <w:szCs w:val="20"/>
        </w:rPr>
        <w:t xml:space="preserve">.2012.TC, sobre el recurso de apelación </w:t>
      </w:r>
      <w:r w:rsidRPr="00EC1385">
        <w:rPr>
          <w:rFonts w:ascii="Tahoma" w:hAnsi="Tahoma" w:cs="Tahoma"/>
          <w:sz w:val="20"/>
          <w:szCs w:val="20"/>
        </w:rPr>
        <w:t>interpuesto por</w:t>
      </w:r>
      <w:r>
        <w:rPr>
          <w:rFonts w:ascii="Tahoma" w:hAnsi="Tahoma" w:cs="Tahoma"/>
          <w:sz w:val="20"/>
          <w:szCs w:val="20"/>
        </w:rPr>
        <w:t xml:space="preserve"> </w:t>
      </w:r>
      <w:r w:rsidRPr="00F07F13">
        <w:rPr>
          <w:rFonts w:ascii="Tahoma" w:hAnsi="Tahoma" w:cs="Tahoma"/>
          <w:sz w:val="20"/>
          <w:szCs w:val="20"/>
          <w:lang w:val="es-ES_tradnl"/>
        </w:rPr>
        <w:t>El Consorcio integrado por las empresas EL INDUSTRIES INTERNATIONAL INC- y FARECO S.A. contra la no admisión de su propuesta y el otorgamiento de la Buena Pro a favor de la empresa ALFA LAVAL S.A., en la Licitación Pública Nº 031-2011-SEDAPAL</w:t>
      </w:r>
      <w:r w:rsidRPr="00864CDE">
        <w:rPr>
          <w:rFonts w:ascii="Tahoma" w:hAnsi="Tahoma" w:cs="Tahoma"/>
          <w:sz w:val="20"/>
          <w:szCs w:val="20"/>
          <w:lang w:val="es-ES_tradnl"/>
        </w:rPr>
        <w:t>,</w:t>
      </w:r>
      <w:r>
        <w:rPr>
          <w:rFonts w:ascii="Tahoma" w:hAnsi="Tahoma" w:cs="Tahoma"/>
          <w:sz w:val="20"/>
          <w:szCs w:val="20"/>
          <w:lang w:val="es-ES_tradnl"/>
        </w:rPr>
        <w:t xml:space="preserve"> </w:t>
      </w:r>
      <w:r w:rsidRPr="00EC1385">
        <w:rPr>
          <w:rFonts w:ascii="Tahoma" w:hAnsi="Tahoma" w:cs="Tahoma"/>
          <w:sz w:val="20"/>
          <w:szCs w:val="20"/>
        </w:rPr>
        <w:t>y atendiendo a los siguientes</w:t>
      </w:r>
      <w:r>
        <w:rPr>
          <w:rFonts w:ascii="Tahoma" w:hAnsi="Tahoma" w:cs="Tahoma"/>
          <w:sz w:val="20"/>
          <w:szCs w:val="20"/>
        </w:rPr>
        <w:t>:</w:t>
      </w:r>
    </w:p>
    <w:p w:rsidR="00F07F13" w:rsidRDefault="00F07F13" w:rsidP="00F07F13">
      <w:pPr>
        <w:spacing w:after="0" w:line="240" w:lineRule="auto"/>
        <w:jc w:val="both"/>
        <w:rPr>
          <w:rFonts w:ascii="Tahoma" w:hAnsi="Tahoma" w:cs="Tahoma"/>
          <w:b/>
          <w:sz w:val="20"/>
          <w:szCs w:val="20"/>
        </w:rPr>
      </w:pPr>
    </w:p>
    <w:p w:rsidR="00F07F13" w:rsidRDefault="00F07F13" w:rsidP="00F07F13">
      <w:pPr>
        <w:spacing w:after="0" w:line="240" w:lineRule="auto"/>
        <w:jc w:val="both"/>
        <w:rPr>
          <w:rFonts w:ascii="Tahoma" w:hAnsi="Tahoma" w:cs="Tahoma"/>
          <w:b/>
          <w:sz w:val="20"/>
          <w:szCs w:val="20"/>
        </w:rPr>
      </w:pPr>
    </w:p>
    <w:p w:rsidR="00F07F13" w:rsidRPr="00C03360" w:rsidRDefault="00F07F13" w:rsidP="00F07F13">
      <w:pPr>
        <w:pStyle w:val="Ttulo2"/>
        <w:jc w:val="both"/>
        <w:rPr>
          <w:rFonts w:cs="Tahoma"/>
          <w:sz w:val="20"/>
        </w:rPr>
      </w:pPr>
      <w:r w:rsidRPr="00C03360">
        <w:rPr>
          <w:rFonts w:cs="Tahoma"/>
          <w:sz w:val="20"/>
        </w:rPr>
        <w:t>ANTECEDENTES:</w:t>
      </w:r>
    </w:p>
    <w:p w:rsidR="00F07F13" w:rsidRPr="00C03360" w:rsidRDefault="00F07F13" w:rsidP="00F07F13">
      <w:pPr>
        <w:spacing w:after="0" w:line="240" w:lineRule="auto"/>
        <w:rPr>
          <w:rFonts w:ascii="Tahoma" w:hAnsi="Tahoma" w:cs="Tahoma"/>
          <w:sz w:val="20"/>
          <w:szCs w:val="20"/>
          <w:lang w:val="es-PE" w:eastAsia="es-PE"/>
        </w:rPr>
      </w:pPr>
    </w:p>
    <w:p w:rsidR="00F07F13" w:rsidRPr="00F07F13" w:rsidRDefault="00F07F13" w:rsidP="00F07F13">
      <w:pPr>
        <w:numPr>
          <w:ilvl w:val="0"/>
          <w:numId w:val="1"/>
        </w:numPr>
        <w:tabs>
          <w:tab w:val="left" w:pos="567"/>
          <w:tab w:val="left" w:pos="1287"/>
        </w:tabs>
        <w:autoSpaceDE w:val="0"/>
        <w:autoSpaceDN w:val="0"/>
        <w:adjustRightInd w:val="0"/>
        <w:spacing w:after="0" w:line="240" w:lineRule="auto"/>
        <w:ind w:left="567" w:hanging="567"/>
        <w:jc w:val="both"/>
        <w:rPr>
          <w:rFonts w:ascii="Tahoma" w:hAnsi="Tahoma" w:cs="Tahoma"/>
          <w:sz w:val="20"/>
          <w:szCs w:val="20"/>
        </w:rPr>
      </w:pPr>
      <w:r w:rsidRPr="001463FA">
        <w:rPr>
          <w:rFonts w:ascii="Tahoma" w:hAnsi="Tahoma" w:cs="Tahoma"/>
          <w:sz w:val="20"/>
          <w:szCs w:val="20"/>
          <w:lang w:val="es-PE"/>
        </w:rPr>
        <w:t xml:space="preserve">El </w:t>
      </w:r>
      <w:r w:rsidRPr="00F07F13">
        <w:rPr>
          <w:rFonts w:ascii="Tahoma" w:hAnsi="Tahoma" w:cs="Tahoma"/>
          <w:sz w:val="20"/>
          <w:szCs w:val="20"/>
        </w:rPr>
        <w:t>13 de diciembre de 2011, el Servicio de Agua Potable y Alcantarillado de Lima- SEDAPAL, en adelante La Entidad, convocó la Licitación Pública Nº 31-2011/SEDAPAL/B, para “adquisición de módulos para deshidratación de lodos”, por un valor referencial total ascendente a S/. 3´200,000.70 (Tres millones doscientos mil con 70/100 Nuevos Soles) incluido los impuestos de Ley.</w:t>
      </w:r>
    </w:p>
    <w:p w:rsidR="00F07F13" w:rsidRPr="00F07F13" w:rsidRDefault="00F07F13" w:rsidP="00F07F13">
      <w:pPr>
        <w:tabs>
          <w:tab w:val="left" w:pos="567"/>
          <w:tab w:val="left" w:pos="1287"/>
        </w:tabs>
        <w:autoSpaceDE w:val="0"/>
        <w:autoSpaceDN w:val="0"/>
        <w:adjustRightInd w:val="0"/>
        <w:spacing w:after="0" w:line="240" w:lineRule="auto"/>
        <w:ind w:left="567"/>
        <w:jc w:val="both"/>
        <w:rPr>
          <w:rFonts w:ascii="Tahoma" w:hAnsi="Tahoma" w:cs="Tahoma"/>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Del 14 de diciembre de 2011 al 18 de enero de 2012, se llevó a cabo el registro de participantes. Del 14 al 20 de diciembre de 2011 se realizó la presentación de consultas a las Bases, emitiéndose el correspondiente pliego absolutorio de consultas con fecha 28 de diciembre de 2011.</w:t>
      </w:r>
    </w:p>
    <w:p w:rsidR="00F07F13" w:rsidRPr="00F07F13" w:rsidRDefault="00F07F13" w:rsidP="00F07F13">
      <w:pPr>
        <w:tabs>
          <w:tab w:val="left" w:pos="567"/>
          <w:tab w:val="left" w:pos="1287"/>
        </w:tabs>
        <w:autoSpaceDE w:val="0"/>
        <w:autoSpaceDN w:val="0"/>
        <w:adjustRightInd w:val="0"/>
        <w:spacing w:after="0" w:line="240" w:lineRule="auto"/>
        <w:ind w:left="567"/>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Del 29 de diciembre de 2011 al 05 de enero de 2012, fueron presentadas las observaciones a las Bases y el 11 de enero de 2012, fue emitido el correspondiente pliego de absolución de observaciones.</w:t>
      </w:r>
    </w:p>
    <w:p w:rsidR="00F07F13" w:rsidRPr="00F07F13" w:rsidRDefault="00F07F13" w:rsidP="00F07F13">
      <w:pPr>
        <w:tabs>
          <w:tab w:val="left" w:pos="567"/>
          <w:tab w:val="left" w:pos="1287"/>
        </w:tabs>
        <w:autoSpaceDE w:val="0"/>
        <w:autoSpaceDN w:val="0"/>
        <w:adjustRightInd w:val="0"/>
        <w:spacing w:after="0" w:line="240" w:lineRule="auto"/>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 xml:space="preserve">Habiendo presentado </w:t>
      </w:r>
      <w:r w:rsidRPr="00F07F13">
        <w:rPr>
          <w:rFonts w:ascii="Tahoma" w:hAnsi="Tahoma" w:cs="Tahoma"/>
          <w:color w:val="000000"/>
          <w:sz w:val="20"/>
          <w:szCs w:val="20"/>
          <w:lang w:val="es-MX"/>
        </w:rPr>
        <w:t xml:space="preserve">el participante ALFA LAVAL S.A. </w:t>
      </w:r>
      <w:r w:rsidRPr="00F07F13">
        <w:rPr>
          <w:rFonts w:ascii="Tahoma" w:hAnsi="Tahoma" w:cs="Tahoma"/>
          <w:color w:val="000000"/>
          <w:sz w:val="20"/>
          <w:szCs w:val="20"/>
        </w:rPr>
        <w:t xml:space="preserve">solicitud de elevación de observaciones, </w:t>
      </w:r>
      <w:r w:rsidRPr="00F07F13">
        <w:rPr>
          <w:rFonts w:ascii="Tahoma" w:hAnsi="Tahoma" w:cs="Tahoma"/>
          <w:color w:val="000000"/>
          <w:sz w:val="20"/>
          <w:szCs w:val="20"/>
          <w:lang w:val="es-MX"/>
        </w:rPr>
        <w:t>mediante Carta Nº 001-2012-CE, recibida el 16 de enero de 2012</w:t>
      </w:r>
      <w:r w:rsidRPr="00F07F13">
        <w:rPr>
          <w:rFonts w:ascii="Tahoma" w:hAnsi="Tahoma" w:cs="Tahoma"/>
          <w:color w:val="000000"/>
          <w:sz w:val="20"/>
          <w:szCs w:val="20"/>
          <w:lang w:val="es-PE"/>
        </w:rPr>
        <w:t xml:space="preserve">, el Presidente </w:t>
      </w:r>
      <w:r w:rsidRPr="00F07F13">
        <w:rPr>
          <w:rFonts w:ascii="Tahoma" w:hAnsi="Tahoma" w:cs="Tahoma"/>
          <w:color w:val="000000"/>
          <w:sz w:val="20"/>
          <w:szCs w:val="20"/>
          <w:lang w:val="es-MX"/>
        </w:rPr>
        <w:t xml:space="preserve">del Comité Especial a cargo </w:t>
      </w:r>
      <w:r w:rsidRPr="00F07F13">
        <w:rPr>
          <w:rFonts w:ascii="Tahoma" w:hAnsi="Tahoma" w:cs="Tahoma"/>
          <w:color w:val="000000"/>
          <w:sz w:val="20"/>
          <w:szCs w:val="20"/>
          <w:lang w:val="es-PE"/>
        </w:rPr>
        <w:t>del proceso de selección de la referencia, remitió al Organismo Supervisor de las Contrataciones del Estado (OSCE) la observación formulada.</w:t>
      </w:r>
    </w:p>
    <w:p w:rsidR="00F07F13" w:rsidRPr="00F07F13" w:rsidRDefault="00F07F13" w:rsidP="00F07F13">
      <w:pPr>
        <w:tabs>
          <w:tab w:val="left" w:pos="567"/>
          <w:tab w:val="left" w:pos="1287"/>
        </w:tabs>
        <w:autoSpaceDE w:val="0"/>
        <w:autoSpaceDN w:val="0"/>
        <w:adjustRightInd w:val="0"/>
        <w:spacing w:after="0" w:line="240" w:lineRule="auto"/>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Con fecha 27 de enero de 2012 se emitió el pronunciamiento correspondiente y el 01 de febrero de 2012, las Bases del proceso de selección fueron integradas.</w:t>
      </w:r>
    </w:p>
    <w:p w:rsidR="00F07F13" w:rsidRPr="00F07F13" w:rsidRDefault="00F07F13" w:rsidP="00F07F13">
      <w:pPr>
        <w:tabs>
          <w:tab w:val="left" w:pos="567"/>
          <w:tab w:val="left" w:pos="1287"/>
        </w:tabs>
        <w:autoSpaceDE w:val="0"/>
        <w:autoSpaceDN w:val="0"/>
        <w:adjustRightInd w:val="0"/>
        <w:spacing w:after="0" w:line="240" w:lineRule="auto"/>
        <w:ind w:left="567"/>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El 08 de febrero de 2012, se llevó a cabo el acto público de presentación de propuestas, presentándose los siguientes postores: (i) ALFA LAVAL S.A., (ii) Consorcio integrado por REPRESENTACIONES WESTFALIA SEPARATOR S.A.C. y GEA WESTFALIA SEPARATOR GROUP GMBH y (iii) FARECO S.A.</w:t>
      </w:r>
    </w:p>
    <w:p w:rsidR="00F07F13" w:rsidRPr="00F07F13" w:rsidRDefault="00F07F13" w:rsidP="00F07F13">
      <w:pPr>
        <w:tabs>
          <w:tab w:val="left" w:pos="567"/>
          <w:tab w:val="left" w:pos="1287"/>
        </w:tabs>
        <w:autoSpaceDE w:val="0"/>
        <w:autoSpaceDN w:val="0"/>
        <w:adjustRightInd w:val="0"/>
        <w:spacing w:after="0" w:line="240" w:lineRule="auto"/>
        <w:ind w:left="567"/>
        <w:jc w:val="both"/>
        <w:rPr>
          <w:rFonts w:ascii="Tahoma" w:hAnsi="Tahoma" w:cs="Tahoma"/>
          <w:color w:val="000000"/>
          <w:sz w:val="20"/>
          <w:szCs w:val="20"/>
        </w:rPr>
      </w:pPr>
      <w:r w:rsidRPr="00F07F13">
        <w:rPr>
          <w:rFonts w:ascii="Tahoma" w:hAnsi="Tahoma" w:cs="Tahoma"/>
          <w:color w:val="000000"/>
          <w:sz w:val="20"/>
          <w:szCs w:val="20"/>
        </w:rPr>
        <w:lastRenderedPageBreak/>
        <w:t>En dicha oportunidad el Comité Especial decidió no admitir la propuesta presentada por FARECO S.A. toda vez que se presentó al proceso de selección como FARECO S.A. y al momento de abrir la propuesta técnica se apreció que la propuesta fue formulada en consorcio, sin embargo en el acto de presentación de propuestas no presentó la partida registral vigente de la consorciada: EL INDUSTRIES INTERNATIONAL INC.</w:t>
      </w:r>
    </w:p>
    <w:p w:rsidR="00F07F13" w:rsidRPr="00F07F13" w:rsidRDefault="00F07F13" w:rsidP="00F07F13">
      <w:pPr>
        <w:tabs>
          <w:tab w:val="left" w:pos="567"/>
          <w:tab w:val="left" w:pos="1287"/>
        </w:tabs>
        <w:autoSpaceDE w:val="0"/>
        <w:autoSpaceDN w:val="0"/>
        <w:adjustRightInd w:val="0"/>
        <w:spacing w:after="0" w:line="240" w:lineRule="auto"/>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El 20 de febrero de 2012, luego de la evaluación de las propuestas presentadas, el Comité Especial adjudicó la Buena Pro del proceso de selección a la empresa ALFA LAVAL S.A</w:t>
      </w:r>
      <w:proofErr w:type="gramStart"/>
      <w:r w:rsidRPr="00F07F13">
        <w:rPr>
          <w:rFonts w:ascii="Tahoma" w:hAnsi="Tahoma" w:cs="Tahoma"/>
          <w:color w:val="000000"/>
          <w:sz w:val="20"/>
          <w:szCs w:val="20"/>
        </w:rPr>
        <w:t>. ,</w:t>
      </w:r>
      <w:proofErr w:type="gramEnd"/>
      <w:r w:rsidRPr="00F07F13">
        <w:rPr>
          <w:rFonts w:ascii="Tahoma" w:hAnsi="Tahoma" w:cs="Tahoma"/>
          <w:color w:val="000000"/>
          <w:sz w:val="20"/>
          <w:szCs w:val="20"/>
        </w:rPr>
        <w:t xml:space="preserve"> en lo sucesivo El Adjudicatario.</w:t>
      </w:r>
    </w:p>
    <w:p w:rsidR="00F07F13" w:rsidRPr="00F07F13" w:rsidRDefault="00F07F13" w:rsidP="00F07F13">
      <w:pPr>
        <w:tabs>
          <w:tab w:val="left" w:pos="567"/>
          <w:tab w:val="left" w:pos="1287"/>
        </w:tabs>
        <w:autoSpaceDE w:val="0"/>
        <w:autoSpaceDN w:val="0"/>
        <w:adjustRightInd w:val="0"/>
        <w:spacing w:after="0" w:line="240" w:lineRule="auto"/>
        <w:ind w:left="567"/>
        <w:jc w:val="both"/>
        <w:rPr>
          <w:rFonts w:ascii="Tahoma" w:hAnsi="Tahoma" w:cs="Tahoma"/>
          <w:color w:val="000000"/>
          <w:sz w:val="20"/>
          <w:szCs w:val="20"/>
        </w:rPr>
      </w:pPr>
    </w:p>
    <w:p w:rsidR="00F07F13" w:rsidRPr="00F07F13" w:rsidRDefault="00F07F13" w:rsidP="00F07F13">
      <w:pPr>
        <w:widowControl w:val="0"/>
        <w:numPr>
          <w:ilvl w:val="0"/>
          <w:numId w:val="2"/>
        </w:numPr>
        <w:tabs>
          <w:tab w:val="left" w:pos="567"/>
          <w:tab w:val="left" w:pos="1287"/>
        </w:tabs>
        <w:suppressAutoHyphens/>
        <w:autoSpaceDE w:val="0"/>
        <w:autoSpaceDN w:val="0"/>
        <w:adjustRightInd w:val="0"/>
        <w:spacing w:after="0" w:line="240" w:lineRule="auto"/>
        <w:ind w:left="567" w:hanging="567"/>
        <w:jc w:val="both"/>
        <w:rPr>
          <w:rFonts w:ascii="Tahoma" w:hAnsi="Tahoma" w:cs="Tahoma"/>
          <w:b/>
          <w:color w:val="000000"/>
          <w:sz w:val="20"/>
          <w:szCs w:val="20"/>
        </w:rPr>
      </w:pPr>
      <w:r w:rsidRPr="00F07F13">
        <w:rPr>
          <w:rFonts w:ascii="Tahoma" w:hAnsi="Tahoma" w:cs="Tahoma"/>
          <w:color w:val="000000"/>
          <w:sz w:val="20"/>
          <w:szCs w:val="20"/>
        </w:rPr>
        <w:t>Mediante escrito presentado el 01 de marzo de 2012, debidamente subsanado el día 05 del mismo mes y año, el Consorcio integrado por las empresas FARECO S.A. y EL INDUSTRIES INTERNATIONAL INC, interpuso recurso de apelación contra la no admisión de su propuesta y el otorgamiento de la Buena Pro a favor de la empresa ALFA LAVAL S.A. en la Licitación Pública Nº 31-2011/SEDAPAL/B, solicitando se revoque la Buena Pro otorgada, se retrotraiga el proceso hasta la admisión de propuestas, y se descalifique las propuestas de ALFA LAVAL S.A. y el Consorcio integrado por REPRESENTACIONES WESTFALIA SEPARATOR S.A.C. y GEA WESTFALIA SEPARATOR GROUP GMBH. Como fundamento de su recurso, el Impugnante sostuvo lo siguiente:</w:t>
      </w:r>
    </w:p>
    <w:p w:rsidR="00F07F13" w:rsidRPr="00F07F13" w:rsidRDefault="00F07F13" w:rsidP="00F07F13">
      <w:pPr>
        <w:spacing w:after="0" w:line="240" w:lineRule="auto"/>
        <w:rPr>
          <w:rFonts w:ascii="Tahoma" w:hAnsi="Tahoma" w:cs="Tahoma"/>
          <w:color w:val="000000"/>
          <w:sz w:val="20"/>
          <w:szCs w:val="20"/>
        </w:rPr>
      </w:pPr>
    </w:p>
    <w:p w:rsidR="00F07F13" w:rsidRPr="00F07F13" w:rsidRDefault="00F07F13" w:rsidP="00F07F13">
      <w:pPr>
        <w:spacing w:after="0" w:line="240" w:lineRule="auto"/>
        <w:ind w:left="567"/>
        <w:jc w:val="both"/>
        <w:rPr>
          <w:rFonts w:ascii="Tahoma" w:hAnsi="Tahoma" w:cs="Tahoma"/>
          <w:i/>
          <w:color w:val="000000"/>
          <w:sz w:val="20"/>
          <w:szCs w:val="20"/>
        </w:rPr>
      </w:pPr>
      <w:r w:rsidRPr="00F07F13">
        <w:rPr>
          <w:rFonts w:ascii="Tahoma" w:hAnsi="Tahoma" w:cs="Tahoma"/>
          <w:i/>
          <w:color w:val="000000"/>
          <w:sz w:val="20"/>
          <w:szCs w:val="20"/>
        </w:rPr>
        <w:t>En relación a la no admisión de su propuesta:</w:t>
      </w:r>
    </w:p>
    <w:p w:rsidR="00F07F13" w:rsidRPr="00F07F13" w:rsidRDefault="00F07F13" w:rsidP="00F07F13">
      <w:pPr>
        <w:spacing w:after="0" w:line="240" w:lineRule="auto"/>
        <w:ind w:left="567"/>
        <w:rPr>
          <w:rFonts w:ascii="Tahoma" w:hAnsi="Tahoma" w:cs="Tahoma"/>
          <w:color w:val="000000"/>
          <w:sz w:val="20"/>
          <w:szCs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el artículo 65º del Reglamento ha regulado la acreditación, en el acto público de presentación de propuesta, de personas naturales y jurídicas,  pero no de los consorcios, no especificándose si deben de presentarse los documentos de todos los miembros del consorcio, de algunos o sólo del representante común; por lo que la Dirección Técnico Normativa como criterio (Pronunciamiento Nº 440-2011-DTN) ha señalado que basta con que cualquiera de los miembros del consorcio presente la propuesta a fin que el consorcio se convierta en postor en el proceso de selección.</w:t>
      </w:r>
    </w:p>
    <w:p w:rsidR="00F07F13" w:rsidRPr="00F07F13" w:rsidRDefault="00F07F13" w:rsidP="00F07F13">
      <w:pPr>
        <w:pStyle w:val="Prrafodelista"/>
        <w:widowControl/>
        <w:tabs>
          <w:tab w:val="left" w:pos="1418"/>
        </w:tabs>
        <w:suppressAutoHyphens w:val="0"/>
        <w:autoSpaceDE w:val="0"/>
        <w:autoSpaceDN w:val="0"/>
        <w:adjustRightInd w:val="0"/>
        <w:ind w:left="1418"/>
        <w:jc w:val="both"/>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si el integrante del consorcio que acude al acto público de presentación de propuestas es una persona jurídica, como en el presente caso, bastará que únicamente este, cumpla con lo dispuesto en el artículo 65º del Reglamento, esto es que su representante legal acredite dicha condición con copia simple del documento registral correspondiente y en el caso de apoderado que además presente una carta poder simple, no siendo necesario que presente ningún documento adicional referido a sus consorciados.</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siendo FARECO S.A. una persona jurídica integrante del Consorcio, acudió al acto público mediante su representante legal quien llevó consigo la respectiva partida registral que consignaba dicho cargo, por lo que su propuesta debió ser admitida.</w:t>
      </w:r>
    </w:p>
    <w:p w:rsidR="00F07F13" w:rsidRPr="00F07F13" w:rsidRDefault="00F07F13" w:rsidP="00F07F13">
      <w:pPr>
        <w:pStyle w:val="Prrafodelista"/>
        <w:widowControl/>
        <w:tabs>
          <w:tab w:val="left" w:pos="1418"/>
        </w:tabs>
        <w:suppressAutoHyphens w:val="0"/>
        <w:autoSpaceDE w:val="0"/>
        <w:autoSpaceDN w:val="0"/>
        <w:adjustRightInd w:val="0"/>
        <w:ind w:left="1418"/>
        <w:jc w:val="both"/>
        <w:rPr>
          <w:rFonts w:ascii="Tahoma" w:hAnsi="Tahoma" w:cs="Tahoma"/>
          <w:color w:val="000000"/>
          <w:sz w:val="20"/>
        </w:rPr>
      </w:pPr>
    </w:p>
    <w:p w:rsidR="00F07F13" w:rsidRDefault="00F07F13" w:rsidP="00F07F13">
      <w:pPr>
        <w:pStyle w:val="Prrafodelista"/>
        <w:jc w:val="both"/>
        <w:rPr>
          <w:rFonts w:ascii="Tahoma" w:hAnsi="Tahoma" w:cs="Tahoma"/>
          <w:i/>
          <w:color w:val="000000"/>
          <w:sz w:val="20"/>
        </w:rPr>
      </w:pPr>
    </w:p>
    <w:p w:rsidR="00F07F13" w:rsidRPr="00F07F13" w:rsidRDefault="00F07F13" w:rsidP="00F07F13">
      <w:pPr>
        <w:pStyle w:val="Prrafodelista"/>
        <w:jc w:val="both"/>
        <w:rPr>
          <w:rFonts w:ascii="Tahoma" w:hAnsi="Tahoma" w:cs="Tahoma"/>
          <w:i/>
          <w:color w:val="000000"/>
          <w:sz w:val="20"/>
        </w:rPr>
      </w:pPr>
      <w:r w:rsidRPr="00F07F13">
        <w:rPr>
          <w:rFonts w:ascii="Tahoma" w:hAnsi="Tahoma" w:cs="Tahoma"/>
          <w:i/>
          <w:color w:val="000000"/>
          <w:sz w:val="20"/>
        </w:rPr>
        <w:lastRenderedPageBreak/>
        <w:t>En relación a la calificación de la propuesta presentada por El Adjudicatario: ALFA LAVAL S.A.</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 xml:space="preserve">Que, el Capítulo IV de las Bases Integradas del proceso de selección consideró como Factor de Evaluación la “Experiencia del Postor”, otorgando un puntaje de 25 puntos, señalando que la experiencia se acreditaría con un máximo de 20 contrataciones por la venta de equipos iguales o similares al objeto de la convocatoria como módulos de lodos y/o sólidos, acondicionados y/o montados en carromato y/o autopropulsados (separadoras, centrífugas, filtros prensa, bombas) y/o equipos similares móviles para el manejo de sólidos y/o lodos tales como equipos de bombeo o succión de sólidos y/o lodos (dragadoras, </w:t>
      </w:r>
      <w:proofErr w:type="spellStart"/>
      <w:r w:rsidRPr="00F07F13">
        <w:rPr>
          <w:rFonts w:ascii="Tahoma" w:hAnsi="Tahoma" w:cs="Tahoma"/>
          <w:color w:val="000000"/>
          <w:sz w:val="20"/>
        </w:rPr>
        <w:t>succionadoras</w:t>
      </w:r>
      <w:proofErr w:type="spellEnd"/>
      <w:r w:rsidRPr="00F07F13">
        <w:rPr>
          <w:rFonts w:ascii="Tahoma" w:hAnsi="Tahoma" w:cs="Tahoma"/>
          <w:color w:val="000000"/>
          <w:sz w:val="20"/>
        </w:rPr>
        <w:t>, plantas de tratamiento portátiles de lodos) utilizados en saneamiento y/o industria en general, no habiendo limitaciones referidas a la cantidad, monto o a la duración de cada contratación que se pretenda acreditar.</w:t>
      </w:r>
    </w:p>
    <w:p w:rsidR="00F07F13" w:rsidRPr="00F07F13" w:rsidRDefault="00F07F13" w:rsidP="00F07F13">
      <w:pPr>
        <w:pStyle w:val="Prrafodelista"/>
        <w:widowControl/>
        <w:tabs>
          <w:tab w:val="left" w:pos="1418"/>
        </w:tabs>
        <w:suppressAutoHyphens w:val="0"/>
        <w:autoSpaceDE w:val="0"/>
        <w:autoSpaceDN w:val="0"/>
        <w:adjustRightInd w:val="0"/>
        <w:ind w:left="1418"/>
        <w:jc w:val="both"/>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las facturas presentadas por El Adjudicatario hacen referencia al suministro de separadoras de sólidos, centrífugas y en un caso de un módulo, pero sin indicar que son móviles, los mismos que no constituyen bienes similares al objeto de la convocatoria, en tanto, como señaló La Entidad mediante el Informe Técnico remitido con ocasión de la elevación de las observaciones, el objeto del presente proceso es adquirir un sistema móvil de deshidratación de sólidos o lodos, por lo que la experiencia en bienes iguales o de naturaleza semejante, sería el suministro de equipos en donde se haya realizado el montaje e integración o ensamblado de todo el sistema móvil.</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al no calificar como similar al objeto de la convocatoria la experiencia presentada por El Adjudicatario correspondería otorgarle el puntaje de 00 puntos en el Factor de Evaluación: “Experiencia del Postor”, y como las mismas facturas se presentaron para acreditar el Factor de evaluación: “Cumplimiento de la Prestación” correspondería en este último también otorgarle 00 puntos.</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en lo referente al factor de evaluación: “mejoras a las especificaciones técnicas”, se advierte que, a fojas 76 y 77 de su propuesta El Adjudicatario adjunta la Declaración de Mejora Técnica ofertando un accesorio control de olores producidos por los lodos durante su deshidratación, acompañando el folleto del fabricante en idioma extranjero, sin embargo no presenta la traducción efectuada por el traductor público juramentado, documento exigible de conformidad con el artículo 62 del Reglamento.</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 xml:space="preserve">Que, en cuanto a la garantía del bien otorgado, de la revisión de la propuesta técnica del Adjudicatario se observa que obra la Declaración Jurada de Cumplimiento de Requerimientos Técnicos Mínimos donde se declara que el bien ofertado es de procedencia de la India siendo el fabricante: ALFA LAVAL (INDIA) LIMITED, sin embargo, a folios 72, obra </w:t>
      </w:r>
      <w:r w:rsidRPr="00F07F13">
        <w:rPr>
          <w:rFonts w:ascii="Tahoma" w:hAnsi="Tahoma" w:cs="Tahoma"/>
          <w:color w:val="000000"/>
          <w:sz w:val="20"/>
        </w:rPr>
        <w:lastRenderedPageBreak/>
        <w:t>el anexo Nº 08 Declaración Jurada por Garantía Comercial, donde expresamente se señala que ALFA LAVAL S.A., es decir El Adjudicatario es fabricante de los bienes ofertados, por lo que si el fabricante de los bienes es la primera de las empresas mencionadas, El  Adjudicatario no ha cumplido con presentar la Carta de Garantía del Fabricante y además ha presentado documentación inexacta.</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asimismo, del cuadro resumen de su experiencia se advierte que dentro de la descripción de la misma se refiere al suministro de separadora de sólidos y centrífugas, mientras que en las constancias de cumplimiento de la prestación se describe el suministro de un módulo centrífugo separador de lodos y sólidos, existiendo incongruencia entre lo descrito en la factura y en la constancia de cumplimiento de la prestación, siendo dichos documentos, por lo tanto inexactos.</w:t>
      </w:r>
    </w:p>
    <w:p w:rsidR="00F07F13" w:rsidRPr="00F07F13" w:rsidRDefault="00F07F13" w:rsidP="00F07F13">
      <w:pPr>
        <w:pStyle w:val="Prrafodelista"/>
        <w:widowControl/>
        <w:tabs>
          <w:tab w:val="left" w:pos="1418"/>
        </w:tabs>
        <w:suppressAutoHyphens w:val="0"/>
        <w:autoSpaceDE w:val="0"/>
        <w:autoSpaceDN w:val="0"/>
        <w:adjustRightInd w:val="0"/>
        <w:ind w:left="1418"/>
        <w:jc w:val="both"/>
        <w:rPr>
          <w:rFonts w:ascii="Tahoma" w:hAnsi="Tahoma" w:cs="Tahoma"/>
          <w:color w:val="000000"/>
          <w:sz w:val="20"/>
        </w:rPr>
      </w:pPr>
    </w:p>
    <w:p w:rsidR="00F07F13" w:rsidRPr="00F07F13" w:rsidRDefault="00F07F13" w:rsidP="00F07F13">
      <w:pPr>
        <w:tabs>
          <w:tab w:val="left" w:pos="709"/>
        </w:tabs>
        <w:autoSpaceDE w:val="0"/>
        <w:autoSpaceDN w:val="0"/>
        <w:adjustRightInd w:val="0"/>
        <w:spacing w:after="0" w:line="240" w:lineRule="auto"/>
        <w:ind w:left="709"/>
        <w:jc w:val="both"/>
        <w:rPr>
          <w:rFonts w:ascii="Tahoma" w:hAnsi="Tahoma" w:cs="Tahoma"/>
          <w:i/>
          <w:color w:val="000000"/>
          <w:sz w:val="20"/>
          <w:szCs w:val="20"/>
        </w:rPr>
      </w:pPr>
      <w:r w:rsidRPr="00F07F13">
        <w:rPr>
          <w:rFonts w:ascii="Tahoma" w:hAnsi="Tahoma" w:cs="Tahoma"/>
          <w:i/>
          <w:color w:val="000000"/>
          <w:sz w:val="20"/>
          <w:szCs w:val="20"/>
        </w:rPr>
        <w:t xml:space="preserve">En relación a la descalificación de la propuesta del Consorcio REPRESENTACIONES WESTFALIA SEPARATOR S.A.C. y GEA WESTFALIA SEPARATOR GROUP GMBH </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1"/>
          <w:numId w:val="2"/>
        </w:numPr>
        <w:tabs>
          <w:tab w:val="left" w:pos="1418"/>
        </w:tabs>
        <w:suppressAutoHyphens w:val="0"/>
        <w:autoSpaceDE w:val="0"/>
        <w:autoSpaceDN w:val="0"/>
        <w:adjustRightInd w:val="0"/>
        <w:ind w:left="1418" w:hanging="567"/>
        <w:jc w:val="both"/>
        <w:rPr>
          <w:rFonts w:ascii="Tahoma" w:hAnsi="Tahoma" w:cs="Tahoma"/>
          <w:color w:val="FF0000"/>
          <w:sz w:val="20"/>
        </w:rPr>
      </w:pPr>
      <w:r w:rsidRPr="00F07F13">
        <w:rPr>
          <w:rFonts w:ascii="Tahoma" w:hAnsi="Tahoma" w:cs="Tahoma"/>
          <w:color w:val="000000"/>
          <w:sz w:val="20"/>
        </w:rPr>
        <w:t>Que, de la revisión de la propuesta económica del referido Consorcio advierte que este ofertó la suma de S/. 3’200.007.00 nuevos soles, monto superior al Valor Referencial del proceso de selección que es S/. 3’200.000.07 (Tres millones doscientos mil con 070/100 nuevos soles).</w:t>
      </w:r>
    </w:p>
    <w:p w:rsidR="00F07F13" w:rsidRPr="00F07F13" w:rsidRDefault="00F07F13" w:rsidP="00F07F13">
      <w:pPr>
        <w:tabs>
          <w:tab w:val="left" w:pos="567"/>
          <w:tab w:val="left" w:pos="1287"/>
        </w:tabs>
        <w:autoSpaceDE w:val="0"/>
        <w:autoSpaceDN w:val="0"/>
        <w:adjustRightInd w:val="0"/>
        <w:spacing w:after="0" w:line="240" w:lineRule="auto"/>
        <w:ind w:left="567"/>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Mediante escrito presentado con fecha 05 de marzo de 2012, El Impugnante señaló que, a pesar de la existencia de su recurso de apelación La Entidad había consentido la Buena Pro otorgada a favor de la empresa ALFA LAVAL S.A.</w:t>
      </w:r>
    </w:p>
    <w:p w:rsidR="00F07F13" w:rsidRPr="00F07F13" w:rsidRDefault="00F07F13" w:rsidP="00F07F13">
      <w:pPr>
        <w:tabs>
          <w:tab w:val="left" w:pos="567"/>
          <w:tab w:val="left" w:pos="1287"/>
        </w:tabs>
        <w:autoSpaceDE w:val="0"/>
        <w:autoSpaceDN w:val="0"/>
        <w:adjustRightInd w:val="0"/>
        <w:spacing w:after="0" w:line="240" w:lineRule="auto"/>
        <w:ind w:left="567"/>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El 06 de marzo de 2012, se admitió a trámite el recurso de apelación interpuesto por El Impugnante, corriéndose traslado a la Entidad a fin de que remita los antecedentes administrativos dentro del plazo de tres (3) días hábiles de haber sido notificado con dicho decreto. Dicho recurso generó el Expediente Nº 295.2012.TC.</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Mediante Carta Nº 204-2012-EAL presentada con fecha 12 de marzo de 2012, la Entidad cumplió con remitir a la Mesa de Partes del Tribunal los antecedentes administrativos requeridos, acompañando el Informe Técnico-Legal Nº 004-2012-LP Nº 0031-2011-SEDAPAL, a través del cual manifestaron lo siguiente:</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0"/>
          <w:numId w:val="5"/>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en el acto público de presentación de propuestas llamaron a la empresa FARECO S.A. la cual indicó que se presentaba como Consorcio con EL INDUSTRIES INTERNATIONAL INC, por lo que debió presentar carta simple suscrita por el representante legal de cada integrante del consorcio con su respectiva copia del documento registral vigente de cada integrante; sin embargo no presentaron dichos documentos, considerando correcta la no admisión de la propuesta técnico-económica del Impugnante.</w:t>
      </w:r>
    </w:p>
    <w:p w:rsidR="00F07F13" w:rsidRPr="00F07F13" w:rsidRDefault="00F07F13" w:rsidP="00F07F13">
      <w:pPr>
        <w:pStyle w:val="Prrafodelista"/>
        <w:widowControl/>
        <w:tabs>
          <w:tab w:val="left" w:pos="1418"/>
        </w:tabs>
        <w:suppressAutoHyphens w:val="0"/>
        <w:autoSpaceDE w:val="0"/>
        <w:autoSpaceDN w:val="0"/>
        <w:adjustRightInd w:val="0"/>
        <w:ind w:left="1418"/>
        <w:jc w:val="both"/>
        <w:rPr>
          <w:rFonts w:ascii="Tahoma" w:hAnsi="Tahoma" w:cs="Tahoma"/>
          <w:color w:val="000000"/>
          <w:sz w:val="20"/>
        </w:rPr>
      </w:pPr>
    </w:p>
    <w:p w:rsidR="00F07F13" w:rsidRPr="00F07F13" w:rsidRDefault="00F07F13" w:rsidP="00F07F13">
      <w:pPr>
        <w:pStyle w:val="Prrafodelista"/>
        <w:widowControl/>
        <w:numPr>
          <w:ilvl w:val="0"/>
          <w:numId w:val="5"/>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lastRenderedPageBreak/>
        <w:t>Que, en cuanto de la revisión de la propuesta económica presentada por el Consorcio conformado por REPRESENTACIONES WESTFALIA SEPARATOR S.A.C. y GEA WESTFALIA SEPARATOR GROUP GMBH se advierte que esta supera el Valor Referencial por lo que, de acuerdo al artículo 33º de la Ley de Contrataciones del Estado, debió ser descalificada.</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0"/>
          <w:numId w:val="5"/>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 xml:space="preserve">Que, respecto a la propuesta presentada por El Adjudicatario: ALFA LAVAL S.A., la experiencia solicitada en las Bases Integradas del proceso de selección estaba definida como aquel suministro de equipos donde se haya realizado el montaje e integración o ensamblado de todo el sistema móvil, por lo que como experiencia en bienes similares  se considera a todo equipo y/o conjunto de equipos que sean necesarios para el manejo de lodos y/o sólidos, los cuales deben ser móviles, según el objeto de adquisición. Sin embargo, las facturas presentadas por El Adjudicatario no evidencian que dichos bienes estuvieran acondicionados y/o montados o ensamblados en un sistema móvil, por lo que no debió de otorgársele puntaje por la experiencia presentada. De la misma forma no debió otorgársele ningún puntaje en el factor: cumplimiento de la prestación. </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0"/>
          <w:numId w:val="5"/>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 xml:space="preserve">Que, en cuanto a la garantía del bien ofertado, se advierte que la carta de garantía presentada por El Adjudicatario indica que garantiza el bien ofertado según las especificaciones técnicas, por lo tanto la misma debe ser considerada como válida. </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0"/>
          <w:numId w:val="5"/>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en relación al factor de evaluación: “mejoras a las especificaciones técnicas”, al revisar la documentación presentada por El Adjudicatario se advierte que el documento que avala la mejora técnica presentada está en idioma inglés, no contando con traducción realizada por traductor público juramentado, y al ser este un documento que sustenta un factor de evaluación debió presentarse con la traducción debida, por lo que no correspondería otorgársele puntaje alguno.</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pStyle w:val="Prrafodelista"/>
        <w:widowControl/>
        <w:numPr>
          <w:ilvl w:val="0"/>
          <w:numId w:val="5"/>
        </w:numPr>
        <w:tabs>
          <w:tab w:val="left" w:pos="1418"/>
        </w:tabs>
        <w:suppressAutoHyphens w:val="0"/>
        <w:autoSpaceDE w:val="0"/>
        <w:autoSpaceDN w:val="0"/>
        <w:adjustRightInd w:val="0"/>
        <w:ind w:left="1418" w:hanging="567"/>
        <w:jc w:val="both"/>
        <w:rPr>
          <w:rFonts w:ascii="Tahoma" w:hAnsi="Tahoma" w:cs="Tahoma"/>
          <w:color w:val="000000"/>
          <w:sz w:val="20"/>
        </w:rPr>
      </w:pPr>
      <w:r w:rsidRPr="00F07F13">
        <w:rPr>
          <w:rFonts w:ascii="Tahoma" w:hAnsi="Tahoma" w:cs="Tahoma"/>
          <w:color w:val="000000"/>
          <w:sz w:val="20"/>
        </w:rPr>
        <w:t>Que, en cuanto a la incongruencia existente entre la Declaración Jurada de Cumplimiento de Requerimientos Técnicos Mínimos donde se declara que el bien ofertado es de procedencia de la India (ALFA LAVAL-INDIA-LIMITED) y el anexo Nº 08 Declaración Jurada por Garantía Comercial, donde expresamente se señala que ALFA LAVAL S.A., es decir El Adjudicatario es fabricante de los bienes ofertados; y entre las facturas y constancias de cumplimiento presentadas, el Comité Especial debió descalificar la propuesta presentada por la existencia de documentos confusos.</w:t>
      </w: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Mediante decreto del 15 de marzo de 2012, se remitió el presente expediente a la Segunda Sala del Tribunal para la emisión de la resolución correspondiente.</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Con escrito presentado el 16 de marzo de 2012 El Impugnante contradijo lo señalado por La Entidad en cuanto a la no admisión de su propuesta presentada, reiterando los argumentos vertidos en su escrito de apelación.</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lastRenderedPageBreak/>
        <w:t xml:space="preserve">Mediante escritos ingresados el 26 y 27 de marzo de 2012 la empresa ALFA LAVAL S.A. se apersonó a la presente instancia y solicitó que se declare Infundado el recurso presentado por El Impugnante contra la no admisión de su propuesta y como consecuencia de ello Improcedente respecto a los cuestionamientos formulados contra su propuesta presentada. </w:t>
      </w:r>
    </w:p>
    <w:p w:rsidR="00F07F13" w:rsidRPr="00F07F13" w:rsidRDefault="00F07F13" w:rsidP="00F07F13">
      <w:pPr>
        <w:tabs>
          <w:tab w:val="left" w:pos="567"/>
          <w:tab w:val="left" w:pos="1287"/>
        </w:tabs>
        <w:autoSpaceDE w:val="0"/>
        <w:autoSpaceDN w:val="0"/>
        <w:adjustRightInd w:val="0"/>
        <w:spacing w:after="0" w:line="240" w:lineRule="auto"/>
        <w:jc w:val="both"/>
        <w:rPr>
          <w:rFonts w:ascii="Tahoma" w:hAnsi="Tahoma" w:cs="Tahoma"/>
          <w:color w:val="000000"/>
          <w:sz w:val="20"/>
          <w:szCs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Con fecha 28 de marzo de 2012 se realizó la Audiencia Pública, haciendo uso de la palabra los representantes del Impugnante y  del Adjudicatario. La Entidad no se apersonó a dicho acto, pese a encontrarse debidamente notificada mediante publicación en el Toma Razón del SEACE.</w:t>
      </w:r>
    </w:p>
    <w:p w:rsidR="00F07F13" w:rsidRPr="00F07F13" w:rsidRDefault="00F07F13" w:rsidP="00F07F13">
      <w:pPr>
        <w:pStyle w:val="Prrafodelista"/>
        <w:rPr>
          <w:rFonts w:ascii="Tahoma" w:hAnsi="Tahoma" w:cs="Tahoma"/>
          <w:color w:val="000000"/>
          <w:sz w:val="20"/>
        </w:rPr>
      </w:pPr>
    </w:p>
    <w:p w:rsidR="00F07F13" w:rsidRPr="00F07F13" w:rsidRDefault="00F07F13" w:rsidP="00F07F13">
      <w:pPr>
        <w:numPr>
          <w:ilvl w:val="0"/>
          <w:numId w:val="2"/>
        </w:numPr>
        <w:tabs>
          <w:tab w:val="left" w:pos="567"/>
          <w:tab w:val="left" w:pos="1287"/>
        </w:tabs>
        <w:autoSpaceDE w:val="0"/>
        <w:autoSpaceDN w:val="0"/>
        <w:adjustRightInd w:val="0"/>
        <w:spacing w:after="0" w:line="240" w:lineRule="auto"/>
        <w:ind w:left="567" w:hanging="567"/>
        <w:jc w:val="both"/>
        <w:rPr>
          <w:rFonts w:ascii="Tahoma" w:hAnsi="Tahoma" w:cs="Tahoma"/>
          <w:color w:val="000000"/>
          <w:sz w:val="20"/>
          <w:szCs w:val="20"/>
        </w:rPr>
      </w:pPr>
      <w:r w:rsidRPr="00F07F13">
        <w:rPr>
          <w:rFonts w:ascii="Tahoma" w:hAnsi="Tahoma" w:cs="Tahoma"/>
          <w:color w:val="000000"/>
          <w:sz w:val="20"/>
          <w:szCs w:val="20"/>
        </w:rPr>
        <w:t>Mediante escrito presentado el 29 de marzo de 2012, El Impugnante contestó los cuestionamientos formulados por El Adjudicatario a su propuesta presentada.</w:t>
      </w:r>
    </w:p>
    <w:p w:rsidR="00F07F13" w:rsidRPr="00F07F13" w:rsidRDefault="00F07F13" w:rsidP="00F07F13">
      <w:pPr>
        <w:tabs>
          <w:tab w:val="left" w:pos="567"/>
          <w:tab w:val="left" w:pos="1287"/>
        </w:tabs>
        <w:autoSpaceDE w:val="0"/>
        <w:autoSpaceDN w:val="0"/>
        <w:adjustRightInd w:val="0"/>
        <w:spacing w:after="0" w:line="240" w:lineRule="auto"/>
        <w:jc w:val="both"/>
        <w:rPr>
          <w:rFonts w:ascii="Tahoma" w:hAnsi="Tahoma" w:cs="Tahoma"/>
          <w:b/>
          <w:sz w:val="20"/>
          <w:szCs w:val="20"/>
        </w:rPr>
      </w:pPr>
    </w:p>
    <w:p w:rsidR="00F07F13" w:rsidRPr="00F07F13" w:rsidRDefault="00F07F13" w:rsidP="00F07F13">
      <w:pPr>
        <w:tabs>
          <w:tab w:val="left" w:pos="567"/>
          <w:tab w:val="left" w:pos="1287"/>
        </w:tabs>
        <w:autoSpaceDE w:val="0"/>
        <w:autoSpaceDN w:val="0"/>
        <w:adjustRightInd w:val="0"/>
        <w:spacing w:after="0" w:line="240" w:lineRule="auto"/>
        <w:jc w:val="both"/>
        <w:rPr>
          <w:rFonts w:ascii="Tahoma" w:hAnsi="Tahoma" w:cs="Tahoma"/>
          <w:b/>
          <w:sz w:val="20"/>
          <w:szCs w:val="20"/>
        </w:rPr>
      </w:pPr>
    </w:p>
    <w:p w:rsidR="00F07F13" w:rsidRPr="00F07F13" w:rsidRDefault="00F07F13" w:rsidP="00F07F13">
      <w:pPr>
        <w:tabs>
          <w:tab w:val="left" w:pos="567"/>
          <w:tab w:val="left" w:pos="1287"/>
        </w:tabs>
        <w:autoSpaceDE w:val="0"/>
        <w:autoSpaceDN w:val="0"/>
        <w:adjustRightInd w:val="0"/>
        <w:spacing w:after="0" w:line="240" w:lineRule="auto"/>
        <w:jc w:val="both"/>
        <w:rPr>
          <w:rFonts w:ascii="Tahoma" w:hAnsi="Tahoma" w:cs="Tahoma"/>
          <w:b/>
          <w:sz w:val="20"/>
          <w:szCs w:val="20"/>
        </w:rPr>
      </w:pPr>
      <w:r w:rsidRPr="00F07F13">
        <w:rPr>
          <w:rFonts w:ascii="Tahoma" w:hAnsi="Tahoma" w:cs="Tahoma"/>
          <w:b/>
          <w:sz w:val="20"/>
          <w:szCs w:val="20"/>
        </w:rPr>
        <w:t>FUNDAMENTACIÓN:</w:t>
      </w:r>
    </w:p>
    <w:p w:rsidR="00F07F13" w:rsidRPr="00F07F13" w:rsidRDefault="00F07F13" w:rsidP="00F07F13">
      <w:pPr>
        <w:spacing w:after="0" w:line="240" w:lineRule="auto"/>
        <w:jc w:val="both"/>
        <w:rPr>
          <w:rFonts w:ascii="Tahoma" w:hAnsi="Tahoma" w:cs="Tahoma"/>
          <w:b/>
          <w:shadow/>
          <w:sz w:val="20"/>
          <w:szCs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Es materia del presente procedimiento, el recurso de apelación interpuesto por El Consorcio integrado por las empresas EL INDUSTRIES INTERNATIONAL INC- y FARECO S.A. contra la no admisión de su propuesta y el otorgamiento de la Buena Pro a favor de la empresa ALFA LAVAL S.A., en la Licitación Pública Nº 031-2011-SEDAPAL</w:t>
      </w:r>
      <w:r w:rsidRPr="00F07F13">
        <w:rPr>
          <w:rFonts w:ascii="Tahoma" w:hAnsi="Tahoma" w:cs="Tahoma"/>
          <w:bCs/>
          <w:sz w:val="20"/>
          <w:szCs w:val="20"/>
        </w:rPr>
        <w:t xml:space="preserve">, convocada </w:t>
      </w:r>
      <w:r w:rsidRPr="00F07F13">
        <w:rPr>
          <w:rFonts w:ascii="Tahoma" w:hAnsi="Tahoma" w:cs="Tahoma"/>
          <w:sz w:val="20"/>
          <w:szCs w:val="20"/>
        </w:rPr>
        <w:t>para “la adquisición de módulos para deshidratación de lodos”.</w:t>
      </w:r>
    </w:p>
    <w:p w:rsidR="00F07F13" w:rsidRPr="00F07F13" w:rsidRDefault="00F07F13" w:rsidP="00F07F13">
      <w:pPr>
        <w:spacing w:after="0" w:line="240" w:lineRule="auto"/>
        <w:ind w:left="567"/>
        <w:jc w:val="both"/>
        <w:rPr>
          <w:rFonts w:ascii="Tahoma" w:eastAsiaTheme="minorHAnsi" w:hAnsi="Tahoma" w:cs="Tahoma"/>
          <w:sz w:val="20"/>
          <w:szCs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Debe tenerse en cuenta que el presente proceso de selección se llevó a cabo estando vigente la Ley de Contrataciones del Estado, aprobada mediante Decreto Legislativo Nº 1017- en adelante La Ley-, y su Reglamento, aprobado por Decreto Supremo Nº 184-2008-EF, en adelante El Reglamento, por lo que tales disposiciones legales resultan aplicables para la resolución del presente recurso</w:t>
      </w:r>
      <w:r w:rsidRPr="00F07F13">
        <w:rPr>
          <w:rStyle w:val="Refdenotaalpie"/>
          <w:rFonts w:ascii="Tahoma" w:hAnsi="Tahoma" w:cs="Tahoma"/>
          <w:sz w:val="20"/>
          <w:szCs w:val="20"/>
        </w:rPr>
        <w:footnoteReference w:id="2"/>
      </w:r>
      <w:r w:rsidRPr="00F07F13">
        <w:rPr>
          <w:rFonts w:ascii="Tahoma" w:hAnsi="Tahoma" w:cs="Tahoma"/>
          <w:sz w:val="20"/>
          <w:szCs w:val="20"/>
        </w:rPr>
        <w:t>.</w:t>
      </w:r>
    </w:p>
    <w:p w:rsidR="00F07F13" w:rsidRPr="00F07F13" w:rsidRDefault="00F07F13" w:rsidP="00F07F13">
      <w:pPr>
        <w:tabs>
          <w:tab w:val="num" w:pos="567"/>
        </w:tabs>
        <w:spacing w:after="0" w:line="240" w:lineRule="auto"/>
        <w:ind w:left="567" w:hanging="567"/>
        <w:jc w:val="both"/>
        <w:rPr>
          <w:rFonts w:ascii="Tahoma" w:hAnsi="Tahoma" w:cs="Tahoma"/>
          <w:sz w:val="20"/>
          <w:szCs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Ahora bien, a manera de cuestión previa al análisis del fondo de la materia que nos ocupa, corresponde determinar si el recurso interpuesto cumple con los requisitos formales que le son exigibles a fin de continuar con el trámite respectivo, específicamente, respecto de la presentación de la garantía por la interposición del recurso de apelación, de conformidad con lo dispuesto en el artículo 53 de la Ley y el artículo 112 del Reglamento.</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 xml:space="preserve">Al respecto, las citadas disposiciones normativas prescriben que la garantía que respalda la interposición del recurso de apelación deberá ser otorgada a favor del Organismo Supervisor de las Contrataciones del Estado-OSCE, por una suma equivalente al tres por ciento (3%) del valor referencial del proceso de selección impugnado o, de ser el caso, del ítem, etapa, tramo, lote y paquete que se decida impugnar. </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 xml:space="preserve">Asimismo, el artículo 112 del Reglamento señala que dicha garantía deberá tener un plazo mínimo de vigencia de treinta (30) días calendario, </w:t>
      </w:r>
      <w:r w:rsidRPr="00F07F13">
        <w:rPr>
          <w:rFonts w:ascii="Tahoma" w:hAnsi="Tahoma" w:cs="Tahoma"/>
          <w:b/>
          <w:i/>
          <w:sz w:val="20"/>
          <w:szCs w:val="20"/>
        </w:rPr>
        <w:t xml:space="preserve">debiendo ser </w:t>
      </w:r>
      <w:r w:rsidRPr="00F07F13">
        <w:rPr>
          <w:rFonts w:ascii="Tahoma" w:hAnsi="Tahoma" w:cs="Tahoma"/>
          <w:b/>
          <w:i/>
          <w:sz w:val="20"/>
          <w:szCs w:val="20"/>
        </w:rPr>
        <w:lastRenderedPageBreak/>
        <w:t>renovada hasta el momento en que se agote la vía administrativa</w:t>
      </w:r>
      <w:r w:rsidRPr="00F07F13">
        <w:rPr>
          <w:rFonts w:ascii="Tahoma" w:hAnsi="Tahoma" w:cs="Tahoma"/>
          <w:sz w:val="20"/>
          <w:szCs w:val="20"/>
        </w:rPr>
        <w:t>. En el supuesto que la garantía no fuese renovada hasta la fecha consignada como vencimiento de la misma, se considerará el recurso de apelación como no presentado.</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En ese orden de ideas, se aprecia que el Impugnante, a efectos de garantizar su recurso de apelación, presentó la Carta Fianza Nº D194-573022 emitida por el Banco de Crédito del Perú, por la suma de S/. 96, 001.00, con vigencia hasta el 01 de abril de 2012.</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Así, a pesar que el día 01 de abril de 2012 se venció la vigencia de la Carta Fianza Nº D194-573022, ésta no ha sido objeto de renovación oportuna tal como lo exige el citado artículo 112 del Reglamento.</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En este sentido, atendiendo a los hechos descritos, corresponde tener por no presentado el recurso de apelación interpuesto por el Impugnante, al advertirse que la Carta Fianza Nº D194-573022 emitida por el Banco de Crédito del Perú, no ha sido renovada oportunamente, en cumplimiento de lo dispuesto con la normativa de contrataciones.</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3"/>
        </w:numPr>
        <w:tabs>
          <w:tab w:val="clear" w:pos="720"/>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 xml:space="preserve">Dentro de este contexto, y al tenerse por no presentado el recurso interpuesto, este Colegiado no se encuentra legitimado para emitir pronunciamiento respecto de los argumentos expuestos por el Impugnante en el presente procedimiento. </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3"/>
        </w:numPr>
        <w:tabs>
          <w:tab w:val="clear" w:pos="720"/>
          <w:tab w:val="num" w:pos="567"/>
          <w:tab w:val="num" w:pos="604"/>
        </w:tabs>
        <w:spacing w:after="0" w:line="240" w:lineRule="auto"/>
        <w:ind w:left="567" w:hanging="567"/>
        <w:jc w:val="both"/>
        <w:rPr>
          <w:rFonts w:ascii="Tahoma" w:hAnsi="Tahoma" w:cs="Tahoma"/>
          <w:sz w:val="20"/>
          <w:szCs w:val="20"/>
        </w:rPr>
      </w:pPr>
      <w:r w:rsidRPr="00F07F13">
        <w:rPr>
          <w:rFonts w:ascii="Tahoma" w:hAnsi="Tahoma" w:cs="Tahoma"/>
          <w:sz w:val="20"/>
          <w:szCs w:val="20"/>
        </w:rPr>
        <w:t xml:space="preserve">Sin perjuicio de ello, consideramos importante señalar que, en observancia a sus funciones, </w:t>
      </w:r>
      <w:r w:rsidRPr="00F07F13">
        <w:rPr>
          <w:rFonts w:ascii="Tahoma" w:hAnsi="Tahoma" w:cs="Tahoma"/>
          <w:b/>
          <w:i/>
          <w:sz w:val="20"/>
          <w:szCs w:val="20"/>
        </w:rPr>
        <w:t xml:space="preserve">La Entidad deberá </w:t>
      </w:r>
      <w:r w:rsidRPr="00F07F13">
        <w:rPr>
          <w:rFonts w:ascii="Tahoma" w:hAnsi="Tahoma" w:cs="Tahoma"/>
          <w:sz w:val="20"/>
          <w:szCs w:val="20"/>
        </w:rPr>
        <w:t>verificar el cumplimiento, por parte de las propuestas presentadas por El Adjudicatario y el postor que quedó en el segundo lugar en el orden de prelación, de los requerimientos técnicos mínimos establecidos en las Bases Integradas del proceso de selección y las disposiciones contenidas en la Ley y El Reglamento, en especial aquellos extremos cuestionados por El Impugnante  en el presente expediente, para que, de ser el caso, declare la nulidad correspondiente.</w:t>
      </w:r>
    </w:p>
    <w:p w:rsidR="00F07F13" w:rsidRPr="00500893" w:rsidRDefault="00F07F13" w:rsidP="00F07F13">
      <w:pPr>
        <w:spacing w:after="0" w:line="240" w:lineRule="auto"/>
        <w:ind w:left="567"/>
        <w:jc w:val="both"/>
        <w:rPr>
          <w:rFonts w:ascii="Tahoma" w:hAnsi="Tahoma" w:cs="Tahoma"/>
          <w:sz w:val="20"/>
          <w:szCs w:val="20"/>
        </w:rPr>
      </w:pPr>
    </w:p>
    <w:p w:rsidR="00F07F13" w:rsidRPr="00500893" w:rsidRDefault="00F07F13" w:rsidP="00F07F13">
      <w:pPr>
        <w:spacing w:after="0" w:line="240" w:lineRule="auto"/>
        <w:ind w:left="142"/>
        <w:jc w:val="both"/>
        <w:rPr>
          <w:rFonts w:ascii="Tahoma" w:eastAsia="Times New Roman" w:hAnsi="Tahoma" w:cs="Tahoma"/>
          <w:sz w:val="20"/>
          <w:szCs w:val="20"/>
          <w:lang w:eastAsia="es-ES"/>
        </w:rPr>
      </w:pPr>
    </w:p>
    <w:p w:rsidR="00F07F13" w:rsidRPr="00EB7314" w:rsidRDefault="00F07F13" w:rsidP="00F07F13">
      <w:pPr>
        <w:spacing w:after="0" w:line="240" w:lineRule="auto"/>
        <w:jc w:val="both"/>
        <w:rPr>
          <w:rFonts w:ascii="Tahoma" w:hAnsi="Tahoma" w:cs="Tahoma"/>
          <w:sz w:val="20"/>
          <w:szCs w:val="20"/>
        </w:rPr>
      </w:pPr>
      <w:r w:rsidRPr="00500893">
        <w:rPr>
          <w:rFonts w:ascii="Tahoma" w:hAnsi="Tahoma" w:cs="Tahoma"/>
          <w:sz w:val="20"/>
          <w:szCs w:val="20"/>
        </w:rPr>
        <w:t xml:space="preserve">Por estos fundamentos, </w:t>
      </w:r>
      <w:r w:rsidRPr="00EB7314">
        <w:rPr>
          <w:rFonts w:ascii="Tahoma" w:hAnsi="Tahoma" w:cs="Tahoma"/>
          <w:sz w:val="20"/>
          <w:szCs w:val="20"/>
        </w:rPr>
        <w:t>de conformidad con el informe de la Vocal Ponente Dra. Patricia Seminari</w:t>
      </w:r>
      <w:r>
        <w:rPr>
          <w:rFonts w:ascii="Tahoma" w:hAnsi="Tahoma" w:cs="Tahoma"/>
          <w:sz w:val="20"/>
          <w:szCs w:val="20"/>
        </w:rPr>
        <w:t>o Zavala y la intervención de los señore</w:t>
      </w:r>
      <w:r w:rsidRPr="00EB7314">
        <w:rPr>
          <w:rFonts w:ascii="Tahoma" w:hAnsi="Tahoma" w:cs="Tahoma"/>
          <w:sz w:val="20"/>
          <w:szCs w:val="20"/>
        </w:rPr>
        <w:t>s vocales</w:t>
      </w:r>
      <w:r>
        <w:rPr>
          <w:rFonts w:ascii="Tahoma" w:hAnsi="Tahoma" w:cs="Tahoma"/>
          <w:sz w:val="20"/>
          <w:szCs w:val="20"/>
        </w:rPr>
        <w:t xml:space="preserve"> Dra. Ada Basulto Liewald y Dr. Carlos Fonseca Oliveira</w:t>
      </w:r>
      <w:r w:rsidRPr="00EB7314">
        <w:rPr>
          <w:rFonts w:ascii="Tahoma" w:hAnsi="Tahoma" w:cs="Tahoma"/>
          <w:sz w:val="20"/>
          <w:szCs w:val="20"/>
        </w:rPr>
        <w:t xml:space="preserve">, y atendiendo a la reconformación de la </w:t>
      </w:r>
      <w:r>
        <w:rPr>
          <w:rFonts w:ascii="Tahoma" w:hAnsi="Tahoma" w:cs="Tahoma"/>
          <w:sz w:val="20"/>
          <w:szCs w:val="20"/>
        </w:rPr>
        <w:t xml:space="preserve">Segunda </w:t>
      </w:r>
      <w:r w:rsidRPr="00EB7314">
        <w:rPr>
          <w:rFonts w:ascii="Tahoma" w:hAnsi="Tahoma" w:cs="Tahoma"/>
          <w:sz w:val="20"/>
          <w:szCs w:val="20"/>
        </w:rPr>
        <w:t>Sala del Tribunal de Contrataciones del Estado, según lo dispuesto en la Resolución №</w:t>
      </w:r>
      <w:r>
        <w:rPr>
          <w:rFonts w:ascii="Tahoma" w:hAnsi="Tahoma" w:cs="Tahoma"/>
          <w:sz w:val="20"/>
          <w:szCs w:val="20"/>
        </w:rPr>
        <w:t xml:space="preserve"> 589-2011/OSCE-PRE de fecha 21 de septiembre de 2011,</w:t>
      </w:r>
      <w:r w:rsidRPr="00EB7314">
        <w:rPr>
          <w:rFonts w:ascii="Tahoma" w:hAnsi="Tahoma" w:cs="Tahoma"/>
          <w:sz w:val="20"/>
          <w:szCs w:val="20"/>
        </w:rPr>
        <w:t xml:space="preserve">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r>
        <w:rPr>
          <w:rFonts w:ascii="Tahoma" w:hAnsi="Tahoma" w:cs="Tahoma"/>
          <w:sz w:val="20"/>
          <w:szCs w:val="20"/>
        </w:rPr>
        <w:t>,</w:t>
      </w:r>
    </w:p>
    <w:p w:rsidR="00F07F13" w:rsidRDefault="00F07F13" w:rsidP="00F07F13">
      <w:pPr>
        <w:spacing w:after="0" w:line="240" w:lineRule="auto"/>
        <w:jc w:val="both"/>
        <w:rPr>
          <w:rFonts w:ascii="Tahoma" w:hAnsi="Tahoma" w:cs="Tahoma"/>
          <w:sz w:val="20"/>
          <w:szCs w:val="20"/>
        </w:rPr>
      </w:pPr>
    </w:p>
    <w:p w:rsidR="00F07F13" w:rsidRDefault="00F07F13" w:rsidP="00F07F13">
      <w:pPr>
        <w:spacing w:after="0" w:line="240" w:lineRule="auto"/>
        <w:jc w:val="both"/>
        <w:rPr>
          <w:rFonts w:ascii="Tahoma" w:hAnsi="Tahoma" w:cs="Tahoma"/>
          <w:sz w:val="20"/>
          <w:szCs w:val="20"/>
        </w:rPr>
      </w:pPr>
    </w:p>
    <w:p w:rsidR="00F07F13" w:rsidRDefault="00F07F13" w:rsidP="00F07F13">
      <w:pPr>
        <w:spacing w:after="0" w:line="240" w:lineRule="auto"/>
        <w:jc w:val="both"/>
        <w:rPr>
          <w:rFonts w:ascii="Tahoma" w:hAnsi="Tahoma" w:cs="Tahoma"/>
          <w:sz w:val="20"/>
          <w:szCs w:val="20"/>
        </w:rPr>
      </w:pPr>
    </w:p>
    <w:p w:rsidR="00F07F13" w:rsidRPr="00500893" w:rsidRDefault="00F07F13" w:rsidP="00F07F13">
      <w:pPr>
        <w:spacing w:after="0" w:line="240" w:lineRule="auto"/>
        <w:jc w:val="both"/>
        <w:rPr>
          <w:rFonts w:ascii="Tahoma" w:hAnsi="Tahoma" w:cs="Tahoma"/>
          <w:sz w:val="20"/>
          <w:szCs w:val="20"/>
        </w:rPr>
      </w:pPr>
    </w:p>
    <w:p w:rsidR="00F07F13" w:rsidRPr="00500893" w:rsidRDefault="00F07F13" w:rsidP="00F07F13">
      <w:pPr>
        <w:spacing w:after="0" w:line="240" w:lineRule="auto"/>
        <w:jc w:val="both"/>
        <w:rPr>
          <w:rFonts w:ascii="Tahoma" w:hAnsi="Tahoma" w:cs="Tahoma"/>
          <w:sz w:val="20"/>
          <w:szCs w:val="20"/>
        </w:rPr>
      </w:pPr>
    </w:p>
    <w:p w:rsidR="00F07F13" w:rsidRPr="00500893" w:rsidRDefault="00F07F13" w:rsidP="00F07F13">
      <w:pPr>
        <w:spacing w:after="0" w:line="240" w:lineRule="auto"/>
        <w:ind w:right="-315"/>
        <w:jc w:val="both"/>
        <w:rPr>
          <w:rFonts w:ascii="Tahoma" w:hAnsi="Tahoma" w:cs="Tahoma"/>
          <w:b/>
          <w:sz w:val="20"/>
          <w:szCs w:val="20"/>
        </w:rPr>
      </w:pPr>
      <w:r w:rsidRPr="00500893">
        <w:rPr>
          <w:rFonts w:ascii="Tahoma" w:hAnsi="Tahoma" w:cs="Tahoma"/>
          <w:b/>
          <w:sz w:val="20"/>
          <w:szCs w:val="20"/>
        </w:rPr>
        <w:lastRenderedPageBreak/>
        <w:t>LA SALA RESUELVE:</w:t>
      </w:r>
    </w:p>
    <w:p w:rsidR="00F07F13" w:rsidRPr="00500893" w:rsidRDefault="00F07F13" w:rsidP="00F07F13">
      <w:pPr>
        <w:spacing w:after="0" w:line="240" w:lineRule="auto"/>
        <w:ind w:right="-315"/>
        <w:jc w:val="both"/>
        <w:rPr>
          <w:rFonts w:ascii="Tahoma" w:hAnsi="Tahoma" w:cs="Tahoma"/>
          <w:b/>
          <w:sz w:val="20"/>
          <w:szCs w:val="20"/>
        </w:rPr>
      </w:pPr>
    </w:p>
    <w:p w:rsidR="00F07F13" w:rsidRPr="00F07F13" w:rsidRDefault="00F07F13" w:rsidP="00F07F13">
      <w:pPr>
        <w:numPr>
          <w:ilvl w:val="0"/>
          <w:numId w:val="4"/>
        </w:numPr>
        <w:tabs>
          <w:tab w:val="clear" w:pos="454"/>
          <w:tab w:val="num" w:pos="567"/>
        </w:tabs>
        <w:spacing w:after="0" w:line="240" w:lineRule="auto"/>
        <w:ind w:left="567" w:hanging="567"/>
        <w:jc w:val="both"/>
        <w:rPr>
          <w:rFonts w:ascii="Tahoma" w:hAnsi="Tahoma" w:cs="Tahoma"/>
          <w:sz w:val="20"/>
          <w:szCs w:val="20"/>
        </w:rPr>
      </w:pPr>
      <w:r>
        <w:rPr>
          <w:rFonts w:ascii="Tahoma" w:hAnsi="Tahoma" w:cs="Tahoma"/>
          <w:sz w:val="20"/>
          <w:szCs w:val="20"/>
        </w:rPr>
        <w:t>Tener</w:t>
      </w:r>
      <w:r w:rsidRPr="00500893">
        <w:rPr>
          <w:rFonts w:ascii="Tahoma" w:hAnsi="Tahoma" w:cs="Tahoma"/>
          <w:sz w:val="20"/>
          <w:szCs w:val="20"/>
        </w:rPr>
        <w:t xml:space="preserve"> </w:t>
      </w:r>
      <w:r w:rsidRPr="00F07F13">
        <w:rPr>
          <w:rFonts w:ascii="Tahoma" w:hAnsi="Tahoma" w:cs="Tahoma"/>
          <w:sz w:val="20"/>
          <w:szCs w:val="20"/>
        </w:rPr>
        <w:t>por no presentado el recurso de apelación interpuesto por El Consorcio integrado por las empresas EL INDUSTRIES INTERNATIONAL INC- y FARECO S.A. contra la no admisión de su propuesta y el otorgamiento de la Buena Pro a favor de la empresa ALFA LAVAL S.A., en la Licitación Pública Nº 031-2011-SEDAPAL y, en consecuencia, archívese el expediente.</w:t>
      </w:r>
    </w:p>
    <w:p w:rsidR="00F07F13" w:rsidRPr="00F07F13" w:rsidRDefault="00F07F13" w:rsidP="00F07F13">
      <w:pPr>
        <w:spacing w:after="0" w:line="240" w:lineRule="auto"/>
        <w:ind w:left="567"/>
        <w:jc w:val="both"/>
        <w:rPr>
          <w:rFonts w:ascii="Tahoma" w:hAnsi="Tahoma" w:cs="Tahoma"/>
          <w:sz w:val="20"/>
          <w:szCs w:val="20"/>
        </w:rPr>
      </w:pPr>
    </w:p>
    <w:p w:rsidR="00F07F13" w:rsidRPr="00F07F13" w:rsidRDefault="00F07F13" w:rsidP="00F07F13">
      <w:pPr>
        <w:numPr>
          <w:ilvl w:val="0"/>
          <w:numId w:val="4"/>
        </w:numPr>
        <w:tabs>
          <w:tab w:val="clear" w:pos="454"/>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Devolver la garantía presentada por El Consorcio integrado por las empresas EL INDUSTRIES INTERNATIONAL INC- y FARECO S.A., para la interposición del recurso de apelación materia de decisión.</w:t>
      </w:r>
    </w:p>
    <w:p w:rsidR="00F07F13" w:rsidRPr="00F07F13" w:rsidRDefault="00F07F13" w:rsidP="00F07F13">
      <w:pPr>
        <w:spacing w:after="0" w:line="240" w:lineRule="auto"/>
        <w:ind w:left="567"/>
        <w:jc w:val="both"/>
        <w:rPr>
          <w:rFonts w:ascii="Tahoma" w:hAnsi="Tahoma" w:cs="Tahoma"/>
          <w:sz w:val="20"/>
          <w:szCs w:val="20"/>
        </w:rPr>
      </w:pPr>
    </w:p>
    <w:p w:rsidR="00F07F13" w:rsidRPr="00F07F13" w:rsidRDefault="00F07F13" w:rsidP="00F07F13">
      <w:pPr>
        <w:numPr>
          <w:ilvl w:val="0"/>
          <w:numId w:val="4"/>
        </w:numPr>
        <w:tabs>
          <w:tab w:val="clear" w:pos="454"/>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Disponer que la Entidad efectúe la verificación de la validez de las propuestas presentadas por la empresa ALFA LAVAL S.A. y el Consorcio conformado por las empresas REPRESENTACIONES WESTFALIA SEPARATOR S.A.C. y GEA WESTFALIA SEPARATOR GROUP GMBH, conforme a lo señalado en el numeral 10 de la presente Fundamentación.</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4"/>
        </w:numPr>
        <w:tabs>
          <w:tab w:val="clear" w:pos="454"/>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Disponer la devolución de los antecedentes administrativos a la Entidad, la cual deberá recabarlos en la mesa de partes del Tribunal dentro del plazo de 30 días calendario de notificada la presente resolución; debiendo autorizar por escrito a la persona que realizará dicha diligencia. En caso contrario, los antecedentes administrativos serán enviados al Archivo Central del OSCE para su custodia por un plazo de seis (6) meses, luego del cual serán remitidos al Archivo General de la Nación, bajo responsabilidad.</w:t>
      </w:r>
    </w:p>
    <w:p w:rsidR="00F07F13" w:rsidRPr="00F07F13" w:rsidRDefault="00F07F13" w:rsidP="00F07F13">
      <w:pPr>
        <w:pStyle w:val="Prrafodelista"/>
        <w:rPr>
          <w:rFonts w:ascii="Tahoma" w:hAnsi="Tahoma" w:cs="Tahoma"/>
          <w:sz w:val="20"/>
        </w:rPr>
      </w:pPr>
    </w:p>
    <w:p w:rsidR="00F07F13" w:rsidRPr="00F07F13" w:rsidRDefault="00F07F13" w:rsidP="00F07F13">
      <w:pPr>
        <w:numPr>
          <w:ilvl w:val="0"/>
          <w:numId w:val="4"/>
        </w:numPr>
        <w:tabs>
          <w:tab w:val="clear" w:pos="454"/>
          <w:tab w:val="num" w:pos="567"/>
        </w:tabs>
        <w:spacing w:after="0" w:line="240" w:lineRule="auto"/>
        <w:ind w:left="567" w:hanging="567"/>
        <w:jc w:val="both"/>
        <w:rPr>
          <w:rFonts w:ascii="Tahoma" w:hAnsi="Tahoma" w:cs="Tahoma"/>
          <w:sz w:val="20"/>
          <w:szCs w:val="20"/>
        </w:rPr>
      </w:pPr>
      <w:r w:rsidRPr="00F07F13">
        <w:rPr>
          <w:rFonts w:ascii="Tahoma" w:hAnsi="Tahoma" w:cs="Tahoma"/>
          <w:sz w:val="20"/>
          <w:szCs w:val="20"/>
        </w:rPr>
        <w:t>Dar por agotada la vía administrativa.</w:t>
      </w:r>
    </w:p>
    <w:p w:rsidR="00F07F13" w:rsidRDefault="00F07F13" w:rsidP="00F07F13">
      <w:pPr>
        <w:tabs>
          <w:tab w:val="left" w:pos="567"/>
          <w:tab w:val="left" w:pos="1701"/>
        </w:tabs>
        <w:spacing w:after="0" w:line="240" w:lineRule="auto"/>
        <w:ind w:left="454"/>
        <w:jc w:val="both"/>
        <w:rPr>
          <w:rFonts w:asciiTheme="minorHAnsi" w:hAnsiTheme="minorHAnsi" w:cs="Tahoma"/>
          <w:szCs w:val="24"/>
        </w:rPr>
      </w:pPr>
    </w:p>
    <w:p w:rsidR="00F07F13" w:rsidRDefault="00F07F13" w:rsidP="00F07F13">
      <w:pPr>
        <w:pStyle w:val="Textoindependiente21"/>
        <w:ind w:right="-315"/>
        <w:rPr>
          <w:rFonts w:cs="Tahoma"/>
          <w:sz w:val="20"/>
        </w:rPr>
      </w:pPr>
    </w:p>
    <w:p w:rsidR="00F07F13" w:rsidRPr="00C03360" w:rsidRDefault="00F07F13" w:rsidP="00F07F13">
      <w:pPr>
        <w:pStyle w:val="Textoindependiente21"/>
        <w:ind w:right="-315"/>
        <w:rPr>
          <w:rFonts w:cs="Tahoma"/>
          <w:sz w:val="20"/>
        </w:rPr>
      </w:pPr>
      <w:r w:rsidRPr="00C03360">
        <w:rPr>
          <w:rFonts w:cs="Tahoma"/>
          <w:sz w:val="20"/>
        </w:rPr>
        <w:t>Regístrese, comuníquese y publíquese.</w:t>
      </w:r>
    </w:p>
    <w:p w:rsidR="00F07F13" w:rsidRDefault="00F07F13" w:rsidP="00F07F13">
      <w:pPr>
        <w:spacing w:after="0" w:line="240" w:lineRule="auto"/>
        <w:rPr>
          <w:rFonts w:ascii="Tahoma" w:hAnsi="Tahoma" w:cs="Tahoma"/>
          <w:b/>
          <w:shadow/>
          <w:sz w:val="20"/>
          <w:szCs w:val="20"/>
        </w:rPr>
      </w:pPr>
    </w:p>
    <w:p w:rsidR="00F07F13" w:rsidRDefault="00F07F13" w:rsidP="00F07F13">
      <w:pPr>
        <w:spacing w:after="0" w:line="240" w:lineRule="auto"/>
        <w:rPr>
          <w:rFonts w:ascii="Tahoma" w:hAnsi="Tahoma" w:cs="Tahoma"/>
          <w:b/>
          <w:shadow/>
          <w:sz w:val="20"/>
          <w:szCs w:val="20"/>
        </w:rPr>
      </w:pPr>
    </w:p>
    <w:p w:rsidR="00F07F13" w:rsidRDefault="00F07F13" w:rsidP="00F07F13">
      <w:pPr>
        <w:spacing w:after="0" w:line="240" w:lineRule="auto"/>
        <w:rPr>
          <w:rFonts w:ascii="Tahoma" w:hAnsi="Tahoma" w:cs="Tahoma"/>
          <w:b/>
          <w:shadow/>
          <w:sz w:val="20"/>
          <w:szCs w:val="20"/>
        </w:rPr>
      </w:pPr>
    </w:p>
    <w:p w:rsidR="00F07F13" w:rsidRDefault="00F07F13" w:rsidP="00F07F13">
      <w:pPr>
        <w:spacing w:after="0" w:line="240" w:lineRule="auto"/>
        <w:rPr>
          <w:rFonts w:ascii="Tahoma" w:hAnsi="Tahoma" w:cs="Tahoma"/>
          <w:b/>
          <w:shadow/>
          <w:sz w:val="20"/>
          <w:szCs w:val="20"/>
        </w:rPr>
      </w:pPr>
    </w:p>
    <w:p w:rsidR="00F07F13" w:rsidRDefault="00F07F13" w:rsidP="00F07F13">
      <w:pPr>
        <w:spacing w:after="0" w:line="240" w:lineRule="auto"/>
        <w:rPr>
          <w:rFonts w:ascii="Tahoma" w:hAnsi="Tahoma" w:cs="Tahoma"/>
          <w:b/>
          <w:shadow/>
          <w:sz w:val="20"/>
          <w:szCs w:val="20"/>
        </w:rPr>
      </w:pPr>
    </w:p>
    <w:p w:rsidR="00F07F13" w:rsidRPr="00C03360" w:rsidRDefault="00F07F13" w:rsidP="00F07F13">
      <w:pPr>
        <w:spacing w:after="0" w:line="240" w:lineRule="auto"/>
        <w:rPr>
          <w:rFonts w:ascii="Tahoma" w:hAnsi="Tahoma" w:cs="Tahoma"/>
          <w:b/>
          <w:shadow/>
          <w:sz w:val="20"/>
          <w:szCs w:val="20"/>
        </w:rPr>
      </w:pPr>
    </w:p>
    <w:p w:rsidR="00F07F13" w:rsidRPr="00C03360" w:rsidRDefault="00F07F13" w:rsidP="00F07F13">
      <w:pPr>
        <w:spacing w:after="0" w:line="240" w:lineRule="auto"/>
        <w:ind w:left="2832" w:firstLine="708"/>
        <w:rPr>
          <w:rFonts w:ascii="Tahoma" w:hAnsi="Tahoma" w:cs="Tahoma"/>
          <w:b/>
          <w:shadow/>
          <w:sz w:val="20"/>
          <w:szCs w:val="20"/>
        </w:rPr>
      </w:pPr>
      <w:r w:rsidRPr="00C03360">
        <w:rPr>
          <w:rFonts w:ascii="Tahoma" w:hAnsi="Tahoma" w:cs="Tahoma"/>
          <w:b/>
          <w:shadow/>
          <w:sz w:val="20"/>
          <w:szCs w:val="20"/>
        </w:rPr>
        <w:t>PRESIDENTE</w:t>
      </w:r>
    </w:p>
    <w:p w:rsidR="00F07F13" w:rsidRPr="00C03360" w:rsidRDefault="00F07F13" w:rsidP="00F07F13">
      <w:pPr>
        <w:spacing w:after="0" w:line="240" w:lineRule="auto"/>
        <w:rPr>
          <w:rFonts w:ascii="Tahoma" w:hAnsi="Tahoma" w:cs="Tahoma"/>
          <w:b/>
          <w:shadow/>
          <w:sz w:val="20"/>
          <w:szCs w:val="20"/>
        </w:rPr>
      </w:pPr>
    </w:p>
    <w:p w:rsidR="00F07F13" w:rsidRPr="00C03360" w:rsidRDefault="00F07F13" w:rsidP="00F07F13">
      <w:pPr>
        <w:spacing w:after="0" w:line="240" w:lineRule="auto"/>
        <w:rPr>
          <w:rFonts w:ascii="Tahoma" w:hAnsi="Tahoma" w:cs="Tahoma"/>
          <w:b/>
          <w:shadow/>
          <w:sz w:val="20"/>
          <w:szCs w:val="20"/>
        </w:rPr>
      </w:pPr>
    </w:p>
    <w:p w:rsidR="00F07F13" w:rsidRPr="00C03360" w:rsidRDefault="00F07F13" w:rsidP="00F07F13">
      <w:pPr>
        <w:spacing w:after="0" w:line="240" w:lineRule="auto"/>
        <w:rPr>
          <w:rFonts w:ascii="Tahoma" w:hAnsi="Tahoma" w:cs="Tahoma"/>
          <w:b/>
          <w:shadow/>
          <w:sz w:val="20"/>
          <w:szCs w:val="20"/>
        </w:rPr>
      </w:pPr>
    </w:p>
    <w:p w:rsidR="00F07F13" w:rsidRPr="00C03360" w:rsidRDefault="00F07F13" w:rsidP="00F07F13">
      <w:pPr>
        <w:spacing w:after="0" w:line="240" w:lineRule="auto"/>
        <w:rPr>
          <w:rFonts w:ascii="Tahoma" w:hAnsi="Tahoma" w:cs="Tahoma"/>
          <w:shadow/>
          <w:sz w:val="20"/>
          <w:szCs w:val="20"/>
        </w:rPr>
      </w:pPr>
      <w:r w:rsidRPr="00C03360">
        <w:rPr>
          <w:rFonts w:ascii="Tahoma" w:hAnsi="Tahoma" w:cs="Tahoma"/>
          <w:b/>
          <w:shadow/>
          <w:sz w:val="20"/>
          <w:szCs w:val="20"/>
        </w:rPr>
        <w:t xml:space="preserve">                   VOCAL</w:t>
      </w:r>
      <w:r w:rsidRPr="00C03360">
        <w:rPr>
          <w:rFonts w:ascii="Tahoma" w:hAnsi="Tahoma" w:cs="Tahoma"/>
          <w:b/>
          <w:shadow/>
          <w:sz w:val="20"/>
          <w:szCs w:val="20"/>
        </w:rPr>
        <w:tab/>
      </w:r>
      <w:r w:rsidRPr="00C03360">
        <w:rPr>
          <w:rFonts w:ascii="Tahoma" w:hAnsi="Tahoma" w:cs="Tahoma"/>
          <w:b/>
          <w:shadow/>
          <w:sz w:val="20"/>
          <w:szCs w:val="20"/>
        </w:rPr>
        <w:tab/>
      </w:r>
      <w:r w:rsidRPr="00C03360">
        <w:rPr>
          <w:rFonts w:ascii="Tahoma" w:hAnsi="Tahoma" w:cs="Tahoma"/>
          <w:b/>
          <w:shadow/>
          <w:sz w:val="20"/>
          <w:szCs w:val="20"/>
        </w:rPr>
        <w:tab/>
      </w:r>
      <w:r>
        <w:rPr>
          <w:rFonts w:ascii="Tahoma" w:hAnsi="Tahoma" w:cs="Tahoma"/>
          <w:b/>
          <w:shadow/>
          <w:sz w:val="20"/>
          <w:szCs w:val="20"/>
        </w:rPr>
        <w:tab/>
      </w:r>
      <w:r>
        <w:rPr>
          <w:rFonts w:ascii="Tahoma" w:hAnsi="Tahoma" w:cs="Tahoma"/>
          <w:b/>
          <w:shadow/>
          <w:sz w:val="20"/>
          <w:szCs w:val="20"/>
        </w:rPr>
        <w:tab/>
      </w:r>
      <w:r>
        <w:rPr>
          <w:rFonts w:ascii="Tahoma" w:hAnsi="Tahoma" w:cs="Tahoma"/>
          <w:b/>
          <w:shadow/>
          <w:sz w:val="20"/>
          <w:szCs w:val="20"/>
        </w:rPr>
        <w:tab/>
      </w:r>
      <w:r>
        <w:rPr>
          <w:rFonts w:ascii="Tahoma" w:hAnsi="Tahoma" w:cs="Tahoma"/>
          <w:b/>
          <w:shadow/>
          <w:sz w:val="20"/>
          <w:szCs w:val="20"/>
        </w:rPr>
        <w:tab/>
        <w:t xml:space="preserve">     </w:t>
      </w:r>
      <w:r w:rsidRPr="00C03360">
        <w:rPr>
          <w:rFonts w:ascii="Tahoma" w:hAnsi="Tahoma" w:cs="Tahoma"/>
          <w:b/>
          <w:shadow/>
          <w:sz w:val="20"/>
          <w:szCs w:val="20"/>
        </w:rPr>
        <w:t>VOCAL</w:t>
      </w:r>
      <w:r w:rsidRPr="00C03360">
        <w:rPr>
          <w:rFonts w:ascii="Tahoma" w:hAnsi="Tahoma" w:cs="Tahoma"/>
          <w:b/>
          <w:shadow/>
          <w:sz w:val="20"/>
          <w:szCs w:val="20"/>
        </w:rPr>
        <w:tab/>
      </w:r>
      <w:r w:rsidRPr="00C03360">
        <w:rPr>
          <w:rFonts w:ascii="Tahoma" w:hAnsi="Tahoma" w:cs="Tahoma"/>
          <w:b/>
          <w:shadow/>
          <w:sz w:val="20"/>
          <w:szCs w:val="20"/>
        </w:rPr>
        <w:tab/>
      </w:r>
      <w:r>
        <w:rPr>
          <w:rFonts w:ascii="Tahoma" w:hAnsi="Tahoma" w:cs="Tahoma"/>
          <w:b/>
          <w:shadow/>
          <w:sz w:val="20"/>
          <w:szCs w:val="20"/>
        </w:rPr>
        <w:tab/>
      </w:r>
      <w:r>
        <w:rPr>
          <w:rFonts w:ascii="Tahoma" w:hAnsi="Tahoma" w:cs="Tahoma"/>
          <w:b/>
          <w:shadow/>
          <w:sz w:val="20"/>
          <w:szCs w:val="20"/>
        </w:rPr>
        <w:tab/>
      </w:r>
      <w:r w:rsidRPr="00C03360">
        <w:rPr>
          <w:rFonts w:ascii="Tahoma" w:hAnsi="Tahoma" w:cs="Tahoma"/>
          <w:b/>
          <w:shadow/>
          <w:sz w:val="20"/>
          <w:szCs w:val="20"/>
        </w:rPr>
        <w:t xml:space="preserve">                   </w:t>
      </w:r>
      <w:r w:rsidRPr="00C03360">
        <w:rPr>
          <w:rFonts w:ascii="Tahoma" w:hAnsi="Tahoma" w:cs="Tahoma"/>
          <w:b/>
          <w:shadow/>
          <w:sz w:val="20"/>
          <w:szCs w:val="20"/>
        </w:rPr>
        <w:tab/>
      </w:r>
      <w:r w:rsidRPr="00C03360">
        <w:rPr>
          <w:rFonts w:ascii="Tahoma" w:hAnsi="Tahoma" w:cs="Tahoma"/>
          <w:b/>
          <w:shadow/>
          <w:sz w:val="20"/>
          <w:szCs w:val="20"/>
        </w:rPr>
        <w:tab/>
      </w:r>
      <w:r w:rsidRPr="00C03360">
        <w:rPr>
          <w:rFonts w:ascii="Tahoma" w:hAnsi="Tahoma" w:cs="Tahoma"/>
          <w:b/>
          <w:shadow/>
          <w:sz w:val="20"/>
          <w:szCs w:val="20"/>
        </w:rPr>
        <w:tab/>
      </w:r>
      <w:r w:rsidRPr="00C03360">
        <w:rPr>
          <w:rFonts w:ascii="Tahoma" w:hAnsi="Tahoma" w:cs="Tahoma"/>
          <w:b/>
          <w:shadow/>
          <w:sz w:val="20"/>
          <w:szCs w:val="20"/>
        </w:rPr>
        <w:tab/>
        <w:t xml:space="preserve"> </w:t>
      </w:r>
    </w:p>
    <w:p w:rsidR="00F07F13" w:rsidRDefault="00F07F13" w:rsidP="00F07F13">
      <w:pPr>
        <w:spacing w:after="0" w:line="240" w:lineRule="auto"/>
        <w:jc w:val="both"/>
        <w:rPr>
          <w:rFonts w:ascii="Tahoma" w:hAnsi="Tahoma" w:cs="Tahoma"/>
          <w:sz w:val="20"/>
          <w:szCs w:val="20"/>
        </w:rPr>
      </w:pPr>
    </w:p>
    <w:p w:rsidR="00F07F13" w:rsidRDefault="00F07F13" w:rsidP="00F07F13">
      <w:pPr>
        <w:spacing w:after="0" w:line="240" w:lineRule="auto"/>
        <w:jc w:val="both"/>
        <w:rPr>
          <w:rFonts w:ascii="Tahoma" w:hAnsi="Tahoma" w:cs="Tahoma"/>
          <w:sz w:val="20"/>
          <w:szCs w:val="20"/>
        </w:rPr>
      </w:pPr>
    </w:p>
    <w:p w:rsidR="00F07F13" w:rsidRDefault="00F07F13" w:rsidP="00F07F13">
      <w:pPr>
        <w:spacing w:after="0" w:line="240" w:lineRule="auto"/>
        <w:jc w:val="both"/>
        <w:rPr>
          <w:rFonts w:ascii="Tahoma" w:hAnsi="Tahoma" w:cs="Tahoma"/>
          <w:sz w:val="20"/>
          <w:szCs w:val="20"/>
        </w:rPr>
      </w:pPr>
    </w:p>
    <w:p w:rsidR="00F07F13" w:rsidRDefault="00F07F13" w:rsidP="00F07F13">
      <w:pPr>
        <w:spacing w:after="0" w:line="240" w:lineRule="auto"/>
        <w:jc w:val="both"/>
        <w:rPr>
          <w:rFonts w:ascii="Tahoma" w:hAnsi="Tahoma" w:cs="Tahoma"/>
          <w:sz w:val="20"/>
          <w:szCs w:val="20"/>
        </w:rPr>
      </w:pPr>
      <w:r w:rsidRPr="00C03360">
        <w:rPr>
          <w:rFonts w:ascii="Tahoma" w:hAnsi="Tahoma" w:cs="Tahoma"/>
          <w:sz w:val="20"/>
          <w:szCs w:val="20"/>
        </w:rPr>
        <w:t>ss.</w:t>
      </w:r>
    </w:p>
    <w:p w:rsidR="00F07F13" w:rsidRDefault="00F07F13" w:rsidP="00F07F13">
      <w:pPr>
        <w:spacing w:after="0" w:line="240" w:lineRule="auto"/>
        <w:jc w:val="both"/>
        <w:rPr>
          <w:rFonts w:ascii="Tahoma" w:hAnsi="Tahoma" w:cs="Tahoma"/>
          <w:sz w:val="20"/>
          <w:szCs w:val="20"/>
        </w:rPr>
      </w:pPr>
      <w:r w:rsidRPr="00C03360">
        <w:rPr>
          <w:rFonts w:ascii="Tahoma" w:hAnsi="Tahoma" w:cs="Tahoma"/>
          <w:sz w:val="20"/>
          <w:szCs w:val="20"/>
        </w:rPr>
        <w:t>Seminario Zavala.</w:t>
      </w:r>
    </w:p>
    <w:p w:rsidR="00F07F13" w:rsidRPr="00C03360" w:rsidRDefault="00F07F13" w:rsidP="00F07F13">
      <w:pPr>
        <w:spacing w:after="0" w:line="240" w:lineRule="auto"/>
        <w:jc w:val="both"/>
        <w:rPr>
          <w:rFonts w:ascii="Tahoma" w:hAnsi="Tahoma" w:cs="Tahoma"/>
          <w:sz w:val="20"/>
          <w:szCs w:val="20"/>
        </w:rPr>
      </w:pPr>
      <w:r>
        <w:rPr>
          <w:rFonts w:ascii="Tahoma" w:hAnsi="Tahoma" w:cs="Tahoma"/>
          <w:sz w:val="20"/>
          <w:szCs w:val="20"/>
        </w:rPr>
        <w:t>Basulto Liewald</w:t>
      </w:r>
    </w:p>
    <w:p w:rsidR="00D92C25" w:rsidRDefault="00F07F13" w:rsidP="00F07F13">
      <w:pPr>
        <w:spacing w:after="0" w:line="240" w:lineRule="auto"/>
      </w:pPr>
      <w:r>
        <w:rPr>
          <w:rFonts w:ascii="Tahoma" w:hAnsi="Tahoma" w:cs="Tahoma"/>
          <w:sz w:val="20"/>
          <w:szCs w:val="20"/>
        </w:rPr>
        <w:t>Fonseca Oliveira</w:t>
      </w:r>
    </w:p>
    <w:sectPr w:rsidR="00D92C25" w:rsidSect="00722388">
      <w:headerReference w:type="even" r:id="rId7"/>
      <w:headerReference w:type="default" r:id="rId8"/>
      <w:footerReference w:type="even" r:id="rId9"/>
      <w:footerReference w:type="default" r:id="rId10"/>
      <w:headerReference w:type="first" r:id="rId11"/>
      <w:footerReference w:type="first" r:id="rId12"/>
      <w:pgSz w:w="11906" w:h="16838"/>
      <w:pgMar w:top="2977" w:right="1985" w:bottom="1977"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7ED" w:rsidRDefault="00B667ED" w:rsidP="00F07F13">
      <w:pPr>
        <w:spacing w:after="0" w:line="240" w:lineRule="auto"/>
      </w:pPr>
      <w:r>
        <w:separator/>
      </w:r>
    </w:p>
  </w:endnote>
  <w:endnote w:type="continuationSeparator" w:id="1">
    <w:p w:rsidR="00B667ED" w:rsidRDefault="00B667ED" w:rsidP="00F07F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0B9" w:rsidRDefault="000D40B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7ED" w:rsidRPr="00102FFE" w:rsidRDefault="00B667ED">
    <w:pPr>
      <w:pStyle w:val="Piedepgina"/>
      <w:jc w:val="center"/>
      <w:rPr>
        <w:rFonts w:ascii="Tahoma" w:hAnsi="Tahoma" w:cs="Tahoma"/>
        <w:sz w:val="18"/>
        <w:szCs w:val="18"/>
      </w:rPr>
    </w:pPr>
    <w:r w:rsidRPr="00102FFE">
      <w:rPr>
        <w:rFonts w:ascii="Tahoma" w:hAnsi="Tahoma" w:cs="Tahoma"/>
        <w:sz w:val="18"/>
        <w:szCs w:val="18"/>
      </w:rPr>
      <w:t xml:space="preserve">Página </w:t>
    </w:r>
    <w:r w:rsidR="007361CC" w:rsidRPr="00102FFE">
      <w:rPr>
        <w:rFonts w:ascii="Tahoma" w:hAnsi="Tahoma" w:cs="Tahoma"/>
        <w:sz w:val="18"/>
        <w:szCs w:val="18"/>
      </w:rPr>
      <w:fldChar w:fldCharType="begin"/>
    </w:r>
    <w:r w:rsidRPr="00102FFE">
      <w:rPr>
        <w:rFonts w:ascii="Tahoma" w:hAnsi="Tahoma" w:cs="Tahoma"/>
        <w:sz w:val="18"/>
        <w:szCs w:val="18"/>
      </w:rPr>
      <w:instrText>PAGE</w:instrText>
    </w:r>
    <w:r w:rsidR="007361CC" w:rsidRPr="00102FFE">
      <w:rPr>
        <w:rFonts w:ascii="Tahoma" w:hAnsi="Tahoma" w:cs="Tahoma"/>
        <w:sz w:val="18"/>
        <w:szCs w:val="18"/>
      </w:rPr>
      <w:fldChar w:fldCharType="separate"/>
    </w:r>
    <w:r w:rsidR="000D40B9">
      <w:rPr>
        <w:rFonts w:ascii="Tahoma" w:hAnsi="Tahoma" w:cs="Tahoma"/>
        <w:noProof/>
        <w:sz w:val="18"/>
        <w:szCs w:val="18"/>
      </w:rPr>
      <w:t>1</w:t>
    </w:r>
    <w:r w:rsidR="007361CC" w:rsidRPr="00102FFE">
      <w:rPr>
        <w:rFonts w:ascii="Tahoma" w:hAnsi="Tahoma" w:cs="Tahoma"/>
        <w:sz w:val="18"/>
        <w:szCs w:val="18"/>
      </w:rPr>
      <w:fldChar w:fldCharType="end"/>
    </w:r>
    <w:r w:rsidRPr="00102FFE">
      <w:rPr>
        <w:rFonts w:ascii="Tahoma" w:hAnsi="Tahoma" w:cs="Tahoma"/>
        <w:sz w:val="18"/>
        <w:szCs w:val="18"/>
      </w:rPr>
      <w:t xml:space="preserve"> de </w:t>
    </w:r>
    <w:r w:rsidR="007361CC" w:rsidRPr="00102FFE">
      <w:rPr>
        <w:rFonts w:ascii="Tahoma" w:hAnsi="Tahoma" w:cs="Tahoma"/>
        <w:sz w:val="18"/>
        <w:szCs w:val="18"/>
      </w:rPr>
      <w:fldChar w:fldCharType="begin"/>
    </w:r>
    <w:r w:rsidRPr="00102FFE">
      <w:rPr>
        <w:rFonts w:ascii="Tahoma" w:hAnsi="Tahoma" w:cs="Tahoma"/>
        <w:sz w:val="18"/>
        <w:szCs w:val="18"/>
      </w:rPr>
      <w:instrText>NUMPAGES</w:instrText>
    </w:r>
    <w:r w:rsidR="007361CC" w:rsidRPr="00102FFE">
      <w:rPr>
        <w:rFonts w:ascii="Tahoma" w:hAnsi="Tahoma" w:cs="Tahoma"/>
        <w:sz w:val="18"/>
        <w:szCs w:val="18"/>
      </w:rPr>
      <w:fldChar w:fldCharType="separate"/>
    </w:r>
    <w:r w:rsidR="000D40B9">
      <w:rPr>
        <w:rFonts w:ascii="Tahoma" w:hAnsi="Tahoma" w:cs="Tahoma"/>
        <w:noProof/>
        <w:sz w:val="18"/>
        <w:szCs w:val="18"/>
      </w:rPr>
      <w:t>8</w:t>
    </w:r>
    <w:r w:rsidR="007361CC" w:rsidRPr="00102FFE">
      <w:rPr>
        <w:rFonts w:ascii="Tahoma" w:hAnsi="Tahoma" w:cs="Tahoma"/>
        <w:sz w:val="18"/>
        <w:szCs w:val="18"/>
      </w:rPr>
      <w:fldChar w:fldCharType="end"/>
    </w:r>
  </w:p>
  <w:p w:rsidR="00B667ED" w:rsidRDefault="00B667E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0B9" w:rsidRDefault="000D40B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7ED" w:rsidRDefault="00B667ED" w:rsidP="00F07F13">
      <w:pPr>
        <w:spacing w:after="0" w:line="240" w:lineRule="auto"/>
      </w:pPr>
      <w:r>
        <w:separator/>
      </w:r>
    </w:p>
  </w:footnote>
  <w:footnote w:type="continuationSeparator" w:id="1">
    <w:p w:rsidR="00B667ED" w:rsidRDefault="00B667ED" w:rsidP="00F07F13">
      <w:pPr>
        <w:spacing w:after="0" w:line="240" w:lineRule="auto"/>
      </w:pPr>
      <w:r>
        <w:continuationSeparator/>
      </w:r>
    </w:p>
  </w:footnote>
  <w:footnote w:id="2">
    <w:p w:rsidR="00B667ED" w:rsidRPr="008B5F71" w:rsidRDefault="00B667ED" w:rsidP="00F07F13">
      <w:pPr>
        <w:pStyle w:val="Textonotapie"/>
        <w:jc w:val="both"/>
        <w:rPr>
          <w:i/>
          <w:lang w:val="es-ES"/>
        </w:rPr>
      </w:pPr>
      <w:r>
        <w:rPr>
          <w:rStyle w:val="Refdenotaalpie"/>
        </w:rPr>
        <w:footnoteRef/>
      </w:r>
      <w:r>
        <w:t xml:space="preserve"> </w:t>
      </w:r>
      <w:r>
        <w:rPr>
          <w:i/>
          <w:lang w:val="es-ES"/>
        </w:rPr>
        <w:t>Tal como ha sido señalado en los antecedentes La Entidad convocó el Concurso Público Nº 01-2011/INABIF el 27 de mayo de 2011.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0B9" w:rsidRDefault="000D40B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00" w:rsidRPr="00893800" w:rsidRDefault="00893800">
    <w:pPr>
      <w:pStyle w:val="Encabezado"/>
      <w:rPr>
        <w:color w:val="FF0000"/>
      </w:rPr>
    </w:pPr>
    <w:r>
      <w:rPr>
        <w:noProof/>
        <w:color w:val="FF0000"/>
        <w:lang w:eastAsia="es-ES"/>
      </w:rPr>
      <w:drawing>
        <wp:anchor distT="0" distB="0" distL="114300" distR="114300" simplePos="0" relativeHeight="251658240" behindDoc="0" locked="0" layoutInCell="1" allowOverlap="1">
          <wp:simplePos x="0" y="0"/>
          <wp:positionH relativeFrom="column">
            <wp:posOffset>-641350</wp:posOffset>
          </wp:positionH>
          <wp:positionV relativeFrom="paragraph">
            <wp:posOffset>-202565</wp:posOffset>
          </wp:positionV>
          <wp:extent cx="6524625" cy="600075"/>
          <wp:effectExtent l="19050" t="0" r="9525" b="0"/>
          <wp:wrapSquare wrapText="bothSides"/>
          <wp:docPr id="3" name="Imagen 2"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enbrete"/>
                  <pic:cNvPicPr>
                    <a:picLocks noChangeAspect="1" noChangeArrowheads="1"/>
                  </pic:cNvPicPr>
                </pic:nvPicPr>
                <pic:blipFill>
                  <a:blip r:embed="rId1"/>
                  <a:srcRect/>
                  <a:stretch>
                    <a:fillRect/>
                  </a:stretch>
                </pic:blipFill>
                <pic:spPr bwMode="auto">
                  <a:xfrm>
                    <a:off x="0" y="0"/>
                    <a:ext cx="6524625" cy="600075"/>
                  </a:xfrm>
                  <a:prstGeom prst="rect">
                    <a:avLst/>
                  </a:prstGeom>
                  <a:noFill/>
                  <a:ln w="9525">
                    <a:noFill/>
                    <a:miter lim="800000"/>
                    <a:headEnd/>
                    <a:tailEnd/>
                  </a:ln>
                </pic:spPr>
              </pic:pic>
            </a:graphicData>
          </a:graphic>
        </wp:anchor>
      </w:drawing>
    </w:r>
  </w:p>
  <w:p w:rsidR="00893800" w:rsidRDefault="00893800">
    <w:pPr>
      <w:rPr>
        <w:rFonts w:ascii="Monotype Corsiva" w:hAnsi="Monotype Corsiva"/>
        <w:b/>
        <w:sz w:val="44"/>
        <w:szCs w:val="44"/>
      </w:rPr>
    </w:pPr>
  </w:p>
  <w:p w:rsidR="00893800" w:rsidRDefault="00893800">
    <w:r>
      <w:rPr>
        <w:rFonts w:ascii="Monotype Corsiva" w:hAnsi="Monotype Corsiva"/>
        <w:b/>
        <w:sz w:val="44"/>
        <w:szCs w:val="44"/>
      </w:rPr>
      <w:t xml:space="preserve">            R</w:t>
    </w:r>
    <w:r w:rsidRPr="00D2091E">
      <w:rPr>
        <w:rFonts w:ascii="Monotype Corsiva" w:hAnsi="Monotype Corsiva"/>
        <w:b/>
        <w:sz w:val="44"/>
        <w:szCs w:val="44"/>
      </w:rPr>
      <w:t xml:space="preserve">esolución Nº   </w:t>
    </w:r>
    <w:r>
      <w:rPr>
        <w:rFonts w:ascii="Tahoma" w:hAnsi="Tahoma" w:cs="Tahoma"/>
        <w:b/>
        <w:sz w:val="44"/>
        <w:szCs w:val="44"/>
      </w:rPr>
      <w:t>343</w:t>
    </w:r>
    <w:r w:rsidR="000D40B9">
      <w:rPr>
        <w:rFonts w:ascii="Tahoma" w:hAnsi="Tahoma" w:cs="Tahoma"/>
        <w:b/>
        <w:sz w:val="44"/>
        <w:szCs w:val="44"/>
      </w:rPr>
      <w:t>-2012-TC-S2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0B9" w:rsidRDefault="000D40B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71FF8"/>
    <w:multiLevelType w:val="hybridMultilevel"/>
    <w:tmpl w:val="BB927B04"/>
    <w:lvl w:ilvl="0" w:tplc="E16818A8">
      <w:start w:val="1"/>
      <w:numFmt w:val="decimal"/>
      <w:lvlText w:val="%1."/>
      <w:lvlJc w:val="left"/>
      <w:pPr>
        <w:tabs>
          <w:tab w:val="num" w:pos="720"/>
        </w:tabs>
        <w:ind w:left="720" w:hanging="360"/>
      </w:pPr>
      <w:rPr>
        <w:rFonts w:ascii="Tahoma" w:hAnsi="Tahoma" w:cs="Tahoma" w:hint="default"/>
        <w:b/>
        <w:i w:val="0"/>
        <w:sz w:val="20"/>
        <w:szCs w:val="20"/>
        <w:lang w:val="es-ES_tradnl"/>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1">
    <w:nsid w:val="5C3F1D62"/>
    <w:multiLevelType w:val="hybridMultilevel"/>
    <w:tmpl w:val="3650E538"/>
    <w:lvl w:ilvl="0" w:tplc="3B941C8A">
      <w:start w:val="1"/>
      <w:numFmt w:val="decimal"/>
      <w:lvlText w:val="%1."/>
      <w:lvlJc w:val="left"/>
      <w:pPr>
        <w:tabs>
          <w:tab w:val="num" w:pos="454"/>
        </w:tabs>
        <w:ind w:left="454" w:hanging="454"/>
      </w:pPr>
      <w:rPr>
        <w:rFonts w:ascii="Tahoma" w:hAnsi="Tahoma" w:cs="Tahoma" w:hint="default"/>
        <w:b/>
        <w:i w:val="0"/>
        <w:shadow w:val="0"/>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616B2007"/>
    <w:multiLevelType w:val="multilevel"/>
    <w:tmpl w:val="D20CBD0C"/>
    <w:lvl w:ilvl="0">
      <w:start w:val="2"/>
      <w:numFmt w:val="decimal"/>
      <w:lvlText w:val="%1."/>
      <w:legacy w:legacy="1" w:legacySpace="0" w:legacyIndent="360"/>
      <w:lvlJc w:val="left"/>
      <w:rPr>
        <w:rFonts w:ascii="Tahoma" w:hAnsi="Tahoma" w:cs="Tahoma" w:hint="default"/>
        <w:b/>
      </w:rPr>
    </w:lvl>
    <w:lvl w:ilvl="1">
      <w:start w:val="1"/>
      <w:numFmt w:val="decimal"/>
      <w:isLgl/>
      <w:lvlText w:val="%1.%2"/>
      <w:lvlJc w:val="left"/>
      <w:pPr>
        <w:ind w:left="927" w:hanging="360"/>
      </w:pPr>
      <w:rPr>
        <w:rFonts w:hint="default"/>
        <w:b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
    <w:nsid w:val="655C4B4B"/>
    <w:multiLevelType w:val="singleLevel"/>
    <w:tmpl w:val="7C5EC8CE"/>
    <w:lvl w:ilvl="0">
      <w:start w:val="1"/>
      <w:numFmt w:val="decimal"/>
      <w:lvlText w:val="%1."/>
      <w:legacy w:legacy="1" w:legacySpace="0" w:legacyIndent="360"/>
      <w:lvlJc w:val="left"/>
      <w:rPr>
        <w:rFonts w:ascii="Tahoma" w:hAnsi="Tahoma" w:cs="Tahoma" w:hint="default"/>
        <w:b/>
      </w:rPr>
    </w:lvl>
  </w:abstractNum>
  <w:abstractNum w:abstractNumId="4">
    <w:nsid w:val="66C97653"/>
    <w:multiLevelType w:val="hybridMultilevel"/>
    <w:tmpl w:val="65F8574E"/>
    <w:lvl w:ilvl="0" w:tplc="3506B5AE">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73211A9B"/>
    <w:multiLevelType w:val="hybridMultilevel"/>
    <w:tmpl w:val="2EE80584"/>
    <w:lvl w:ilvl="0" w:tplc="E36E7E1A">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2052"/>
  </w:hdrShapeDefaults>
  <w:footnotePr>
    <w:footnote w:id="0"/>
    <w:footnote w:id="1"/>
  </w:footnotePr>
  <w:endnotePr>
    <w:endnote w:id="0"/>
    <w:endnote w:id="1"/>
  </w:endnotePr>
  <w:compat/>
  <w:rsids>
    <w:rsidRoot w:val="00F07F13"/>
    <w:rsid w:val="000D40B9"/>
    <w:rsid w:val="006A2920"/>
    <w:rsid w:val="00722388"/>
    <w:rsid w:val="007361CC"/>
    <w:rsid w:val="007362C3"/>
    <w:rsid w:val="00893800"/>
    <w:rsid w:val="008B5905"/>
    <w:rsid w:val="00961680"/>
    <w:rsid w:val="00AC09B1"/>
    <w:rsid w:val="00B667ED"/>
    <w:rsid w:val="00BD0847"/>
    <w:rsid w:val="00D92C25"/>
    <w:rsid w:val="00F07F1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F13"/>
    <w:pPr>
      <w:spacing w:after="200" w:line="276" w:lineRule="auto"/>
      <w:jc w:val="left"/>
    </w:pPr>
    <w:rPr>
      <w:rFonts w:ascii="Calibri" w:eastAsia="Calibri" w:hAnsi="Calibri" w:cs="Times New Roman"/>
    </w:rPr>
  </w:style>
  <w:style w:type="paragraph" w:styleId="Ttulo2">
    <w:name w:val="heading 2"/>
    <w:basedOn w:val="Normal"/>
    <w:next w:val="Normal"/>
    <w:link w:val="Ttulo2Car"/>
    <w:qFormat/>
    <w:rsid w:val="00F07F13"/>
    <w:pPr>
      <w:keepNext/>
      <w:spacing w:after="0" w:line="240" w:lineRule="auto"/>
      <w:jc w:val="center"/>
      <w:outlineLvl w:val="1"/>
    </w:pPr>
    <w:rPr>
      <w:rFonts w:ascii="Tahoma" w:eastAsia="Times New Roman" w:hAnsi="Tahoma"/>
      <w:b/>
      <w:sz w:val="24"/>
      <w:szCs w:val="20"/>
      <w:lang w:val="es-PE"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F07F13"/>
    <w:rPr>
      <w:rFonts w:ascii="Tahoma" w:eastAsia="Times New Roman" w:hAnsi="Tahoma" w:cs="Times New Roman"/>
      <w:b/>
      <w:sz w:val="24"/>
      <w:szCs w:val="20"/>
      <w:lang w:val="es-PE" w:eastAsia="es-PE"/>
    </w:rPr>
  </w:style>
  <w:style w:type="paragraph" w:styleId="Textoindependiente3">
    <w:name w:val="Body Text 3"/>
    <w:basedOn w:val="Normal"/>
    <w:link w:val="Textoindependiente3Car"/>
    <w:semiHidden/>
    <w:unhideWhenUsed/>
    <w:rsid w:val="00F07F13"/>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F07F13"/>
    <w:rPr>
      <w:rFonts w:ascii="Times New Roman" w:eastAsia="Times New Roman" w:hAnsi="Times New Roman" w:cs="Times New Roman"/>
      <w:sz w:val="16"/>
      <w:szCs w:val="16"/>
      <w:lang w:val="es-PE" w:eastAsia="es-ES"/>
    </w:rPr>
  </w:style>
  <w:style w:type="paragraph" w:styleId="Prrafodelista">
    <w:name w:val="List Paragraph"/>
    <w:basedOn w:val="Normal"/>
    <w:uiPriority w:val="34"/>
    <w:qFormat/>
    <w:rsid w:val="00F07F13"/>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customStyle="1" w:styleId="Textoindependiente21">
    <w:name w:val="Texto independiente 21"/>
    <w:basedOn w:val="Normal"/>
    <w:rsid w:val="00F07F13"/>
    <w:pPr>
      <w:spacing w:after="0" w:line="240" w:lineRule="auto"/>
      <w:jc w:val="both"/>
    </w:pPr>
    <w:rPr>
      <w:rFonts w:ascii="Tahoma" w:eastAsia="Times New Roman" w:hAnsi="Tahoma"/>
      <w:szCs w:val="20"/>
      <w:lang w:eastAsia="es-ES"/>
    </w:rPr>
  </w:style>
  <w:style w:type="paragraph" w:styleId="Piedepgina">
    <w:name w:val="footer"/>
    <w:basedOn w:val="Normal"/>
    <w:link w:val="PiedepginaCar"/>
    <w:uiPriority w:val="99"/>
    <w:unhideWhenUsed/>
    <w:rsid w:val="00F07F13"/>
    <w:pPr>
      <w:tabs>
        <w:tab w:val="center" w:pos="4252"/>
        <w:tab w:val="right" w:pos="8504"/>
      </w:tabs>
    </w:pPr>
  </w:style>
  <w:style w:type="character" w:customStyle="1" w:styleId="PiedepginaCar">
    <w:name w:val="Pie de página Car"/>
    <w:basedOn w:val="Fuentedeprrafopredeter"/>
    <w:link w:val="Piedepgina"/>
    <w:uiPriority w:val="99"/>
    <w:rsid w:val="00F07F13"/>
    <w:rPr>
      <w:rFonts w:ascii="Calibri" w:eastAsia="Calibri" w:hAnsi="Calibri" w:cs="Times New Roman"/>
    </w:rPr>
  </w:style>
  <w:style w:type="paragraph" w:styleId="Textonotapie">
    <w:name w:val="footnote text"/>
    <w:aliases w:val=" Car,Car, Car1 Car, Car2 Car Car Car Car Car, Car2 Car Car, Car2 Car Car Car Car Car Car, Car2 Car1 Car, Car Car Car, Car2 Car, Car2, Car1,Car1 Car,Car2 Car Car Car Car Car,Car2 Car Car,Car2 Car Car Car Car Car Car,Car2 Car1 Car,Car2 Car"/>
    <w:basedOn w:val="Normal"/>
    <w:link w:val="TextonotapieCar"/>
    <w:uiPriority w:val="99"/>
    <w:unhideWhenUsed/>
    <w:rsid w:val="00F07F13"/>
    <w:pPr>
      <w:widowControl w:val="0"/>
      <w:suppressAutoHyphens/>
      <w:spacing w:after="0" w:line="240" w:lineRule="auto"/>
    </w:pPr>
    <w:rPr>
      <w:rFonts w:ascii="Times New Roman" w:eastAsia="Times New Roman" w:hAnsi="Times New Roman"/>
      <w:sz w:val="20"/>
      <w:szCs w:val="20"/>
      <w:lang w:val="es-ES_tradnl" w:eastAsia="es-ES"/>
    </w:rPr>
  </w:style>
  <w:style w:type="character" w:customStyle="1" w:styleId="TextonotapieCar">
    <w:name w:val="Texto nota pie Car"/>
    <w:aliases w:val=" Car Car,Car Car, Car1 Car Car, Car2 Car Car Car Car Car Car1, Car2 Car Car Car, Car2 Car Car Car Car Car Car Car, Car2 Car1 Car Car, Car Car Car Car, Car2 Car Car1, Car2 Car1, Car1 Car1,Car1 Car Car,Car2 Car Car Car Car Car Car1"/>
    <w:basedOn w:val="Fuentedeprrafopredeter"/>
    <w:link w:val="Textonotapie"/>
    <w:uiPriority w:val="99"/>
    <w:rsid w:val="00F07F13"/>
    <w:rPr>
      <w:rFonts w:ascii="Times New Roman" w:eastAsia="Times New Roman" w:hAnsi="Times New Roman" w:cs="Times New Roman"/>
      <w:sz w:val="20"/>
      <w:szCs w:val="20"/>
      <w:lang w:val="es-ES_tradnl" w:eastAsia="es-ES"/>
    </w:rPr>
  </w:style>
  <w:style w:type="character" w:styleId="Refdenotaalpie">
    <w:name w:val="footnote reference"/>
    <w:basedOn w:val="Fuentedeprrafopredeter"/>
    <w:uiPriority w:val="99"/>
    <w:unhideWhenUsed/>
    <w:rsid w:val="00F07F13"/>
    <w:rPr>
      <w:vertAlign w:val="superscript"/>
    </w:rPr>
  </w:style>
  <w:style w:type="paragraph" w:styleId="Encabezado">
    <w:name w:val="header"/>
    <w:basedOn w:val="Normal"/>
    <w:link w:val="EncabezadoCar"/>
    <w:uiPriority w:val="99"/>
    <w:semiHidden/>
    <w:unhideWhenUsed/>
    <w:rsid w:val="0089380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89380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3112</Words>
  <Characters>17122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kchavez</dc:creator>
  <cp:keywords/>
  <dc:description/>
  <cp:lastModifiedBy>mdelgado</cp:lastModifiedBy>
  <cp:revision>4</cp:revision>
  <cp:lastPrinted>2012-04-02T21:33:00Z</cp:lastPrinted>
  <dcterms:created xsi:type="dcterms:W3CDTF">2012-04-02T22:40:00Z</dcterms:created>
  <dcterms:modified xsi:type="dcterms:W3CDTF">2012-04-02T22:50:00Z</dcterms:modified>
</cp:coreProperties>
</file>